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GH-ACC-2025-00472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GH-ACC-2025-00472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Project Duration</w:t>
            </w:r>
          </w:p>
        </w:tc>
        <w:tc>
          <w:tcPr/>
          <w:p>
            <w:pPr>
              <w:pStyle w:val="Compact"/>
              <w:jc w:val="left"/>
            </w:pPr>
            <w:r>
              <w:t xml:space="preserve">12 Months (01 July 2025 – 30 June 2026)</w:t>
            </w:r>
          </w:p>
        </w:tc>
      </w:tr>
      <w:tr>
        <w:tc>
          <w:tcPr/>
          <w:p>
            <w:pPr>
              <w:pStyle w:val="Compact"/>
              <w:jc w:val="left"/>
            </w:pPr>
            <w:r>
              <w:t xml:space="preserve">Currency</w:t>
            </w:r>
          </w:p>
        </w:tc>
        <w:tc>
          <w:tcPr/>
          <w:p>
            <w:pPr>
              <w:pStyle w:val="Compact"/>
              <w:jc w:val="left"/>
            </w:pPr>
            <w:r>
              <w:t xml:space="preserve">Ghana Cedi (GHS)</w:t>
            </w:r>
          </w:p>
        </w:tc>
      </w:tr>
      <w:tr>
        <w:tc>
          <w:tcPr/>
          <w:p>
            <w:pPr>
              <w:pStyle w:val="Compact"/>
              <w:jc w:val="left"/>
            </w:pPr>
            <w:r>
              <w:t xml:space="preserve">Payment Terms</w:t>
            </w:r>
          </w:p>
        </w:tc>
        <w:tc>
          <w:tcPr/>
          <w:p>
            <w:pPr>
              <w:pStyle w:val="Compact"/>
              <w:jc w:val="left"/>
            </w:pPr>
            <w:r>
              <w:t xml:space="preserve">Net 30 Days from invoice submission</w:t>
            </w:r>
          </w:p>
        </w:tc>
      </w:tr>
      <w:tr>
        <w:tc>
          <w:tcPr/>
          <w:p>
            <w:pPr>
              <w:pStyle w:val="Compact"/>
              <w:jc w:val="left"/>
            </w:pPr>
            <w:r>
              <w:t xml:space="preserve">Place of Performance</w:t>
            </w:r>
          </w:p>
        </w:tc>
        <w:tc>
          <w:tcPr/>
          <w:p>
            <w:pPr>
              <w:pStyle w:val="Compact"/>
              <w:jc w:val="left"/>
            </w:pPr>
            <w:r>
              <w:t xml:space="preserve">Ghana Accra</w:t>
            </w:r>
            <w:r>
              <w:t xml:space="preserve"> </w:t>
            </w:r>
            <w:r>
              <w:t xml:space="preserve">– All services to be rendered primarily at the client's headquarters located at 12 Independence Avenue, Accra, Ghana</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Accra Enterprise Holdings Limited</w:t>
            </w:r>
          </w:p>
        </w:tc>
      </w:tr>
      <w:tr>
        <w:tc>
          <w:tcPr/>
          <w:p>
            <w:pPr>
              <w:pStyle w:val="Compact"/>
              <w:jc w:val="left"/>
            </w:pPr>
            <w:r>
              <w:t xml:space="preserve">Registered Address</w:t>
            </w:r>
          </w:p>
        </w:tc>
        <w:tc>
          <w:tcPr/>
          <w:p>
            <w:pPr>
              <w:pStyle w:val="Compact"/>
              <w:jc w:val="left"/>
            </w:pPr>
            <w:r>
              <w:t xml:space="preserve">12 Independence Avenue, Accra, Ghana</w:t>
            </w:r>
          </w:p>
        </w:tc>
      </w:tr>
      <w:tr>
        <w:tc>
          <w:tcPr/>
          <w:p>
            <w:pPr>
              <w:pStyle w:val="Compact"/>
              <w:jc w:val="left"/>
            </w:pPr>
            <w:r>
              <w:t xml:space="preserve">Tax Identification Number (TIN)</w:t>
            </w:r>
          </w:p>
        </w:tc>
        <w:tc>
          <w:tcPr/>
          <w:p>
            <w:pPr>
              <w:pStyle w:val="Compact"/>
              <w:jc w:val="left"/>
            </w:pPr>
            <w:r>
              <w:t xml:space="preserve">GHA-2019-4487213</w:t>
            </w:r>
          </w:p>
        </w:tc>
      </w:tr>
      <w:tr>
        <w:tc>
          <w:tcPr/>
          <w:p>
            <w:pPr>
              <w:pStyle w:val="Compact"/>
              <w:jc w:val="left"/>
            </w:pPr>
            <w:r>
              <w:t xml:space="preserve">Authorized Signatory</w:t>
            </w:r>
          </w:p>
        </w:tc>
        <w:tc>
          <w:tcPr/>
          <w:p>
            <w:pPr>
              <w:pStyle w:val="Compact"/>
              <w:jc w:val="left"/>
            </w:pPr>
            <w:r>
              <w:t xml:space="preserve">Mr. Kwame Asante – Chief Executive Officer</w:t>
            </w:r>
          </w:p>
        </w:tc>
      </w:tr>
      <w:tr>
        <w:tc>
          <w:tcPr/>
          <w:p>
            <w:pPr>
              <w:pStyle w:val="Compact"/>
              <w:jc w:val="left"/>
            </w:pPr>
            <w:r>
              <w:t xml:space="preserve">Contact Email</w:t>
            </w:r>
          </w:p>
        </w:tc>
        <w:tc>
          <w:tcPr/>
          <w:p>
            <w:pPr>
              <w:pStyle w:val="Compact"/>
              <w:jc w:val="left"/>
            </w:pPr>
            <w:r>
              <w:t xml:space="preserve">procurement@accraenterprise.com.gh</w:t>
            </w:r>
          </w:p>
        </w:tc>
      </w:tr>
      <w:tr>
        <w:tc>
          <w:tcPr/>
          <w:p>
            <w:pPr>
              <w:pStyle w:val="Compact"/>
              <w:jc w:val="left"/>
            </w:pPr>
            <w:r>
              <w:t xml:space="preserve">Telephone</w:t>
            </w:r>
          </w:p>
        </w:tc>
        <w:tc>
          <w:tcPr/>
          <w:p>
            <w:pPr>
              <w:pStyle w:val="Compact"/>
              <w:jc w:val="left"/>
            </w:pPr>
            <w:r>
              <w:t xml:space="preserve">+233 302 555 0147</w:t>
            </w:r>
          </w:p>
        </w:tc>
      </w:tr>
    </w:tbl>
    <w:bookmarkEnd w:id="22"/>
    <w:bookmarkStart w:id="23" w:name="supplier-service-provider-seller"/>
    <w:p>
      <w:pPr>
        <w:pStyle w:val="Heading2"/>
      </w:pPr>
      <w:r>
        <w:t xml:space="preserve">3.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Consultant Name / Firm</w:t>
            </w:r>
          </w:p>
        </w:tc>
        <w:tc>
          <w:tcPr/>
          <w:p>
            <w:pPr>
              <w:pStyle w:val="Compact"/>
              <w:jc w:val="left"/>
            </w:pPr>
            <w:r>
              <w:t xml:space="preserve">Ms. Efua Mensah –</w:t>
            </w:r>
            <w:r>
              <w:t xml:space="preserve"> </w:t>
            </w:r>
            <w:r>
              <w:t xml:space="preserve">Business Consultant</w:t>
            </w:r>
            <w:r>
              <w:t xml:space="preserve">, Mensah Strategic Advisory LLC</w:t>
            </w:r>
          </w:p>
        </w:tc>
      </w:tr>
      <w:tr>
        <w:tc>
          <w:tcPr/>
          <w:p>
            <w:pPr>
              <w:pStyle w:val="Compact"/>
              <w:jc w:val="left"/>
            </w:pPr>
            <w:r>
              <w:t xml:space="preserve">Professional Address</w:t>
            </w:r>
          </w:p>
        </w:tc>
        <w:tc>
          <w:tcPr/>
          <w:p>
            <w:pPr>
              <w:pStyle w:val="Compact"/>
              <w:jc w:val="left"/>
            </w:pPr>
            <w:r>
              <w:t xml:space="preserve">Suite 408, Accra Central Business District, Ghana Accra</w:t>
            </w:r>
          </w:p>
        </w:tc>
      </w:tr>
      <w:tr>
        <w:tc>
          <w:tcPr/>
          <w:p>
            <w:pPr>
              <w:pStyle w:val="Compact"/>
              <w:jc w:val="left"/>
            </w:pPr>
            <w:r>
              <w:t xml:space="preserve">Tax Identification Number (TIN)</w:t>
            </w:r>
          </w:p>
        </w:tc>
        <w:tc>
          <w:tcPr/>
          <w:p>
            <w:pPr>
              <w:pStyle w:val="Compact"/>
              <w:jc w:val="left"/>
            </w:pPr>
            <w:r>
              <w:t xml:space="preserve">GHA-2021-9934102</w:t>
            </w:r>
          </w:p>
        </w:tc>
      </w:tr>
      <w:tr>
        <w:tc>
          <w:tcPr/>
          <w:p>
            <w:pPr>
              <w:pStyle w:val="Compact"/>
              <w:jc w:val="left"/>
            </w:pPr>
            <w:r>
              <w:t xml:space="preserve">Professional License No.</w:t>
            </w:r>
          </w:p>
        </w:tc>
        <w:tc>
          <w:tcPr/>
          <w:p>
            <w:pPr>
              <w:pStyle w:val="Compact"/>
              <w:jc w:val="left"/>
            </w:pPr>
            <w:r>
              <w:t xml:space="preserve">GIC-BC-2020-0087 (Ghana Institute of Consultants)</w:t>
            </w:r>
          </w:p>
        </w:tc>
      </w:tr>
      <w:tr>
        <w:tc>
          <w:tcPr/>
          <w:p>
            <w:pPr>
              <w:pStyle w:val="Compact"/>
              <w:jc w:val="left"/>
            </w:pPr>
            <w:r>
              <w:t xml:space="preserve">Contact Email</w:t>
            </w:r>
          </w:p>
        </w:tc>
        <w:tc>
          <w:tcPr/>
          <w:p>
            <w:pPr>
              <w:pStyle w:val="Compact"/>
              <w:jc w:val="left"/>
            </w:pPr>
            <w:r>
              <w:t xml:space="preserve">efua.mensah@menshadvisory.com</w:t>
            </w:r>
          </w:p>
        </w:tc>
      </w:tr>
      <w:tr>
        <w:tc>
          <w:tcPr/>
          <w:p>
            <w:pPr>
              <w:pStyle w:val="Compact"/>
              <w:jc w:val="left"/>
            </w:pPr>
            <w:r>
              <w:t xml:space="preserve">Telephone</w:t>
            </w:r>
          </w:p>
        </w:tc>
        <w:tc>
          <w:tcPr/>
          <w:p>
            <w:pPr>
              <w:pStyle w:val="Compact"/>
              <w:jc w:val="left"/>
            </w:pPr>
            <w:r>
              <w:t xml:space="preserve">+233 244 781 2290</w:t>
            </w:r>
          </w:p>
        </w:tc>
      </w:tr>
    </w:tbl>
    <w:bookmarkEnd w:id="23"/>
    <w:bookmarkStart w:id="24" w:name="X38c04614c6852dc42671939c78d168ce144be86"/>
    <w:p>
      <w:pPr>
        <w:pStyle w:val="Heading2"/>
      </w:pPr>
      <w:r>
        <w:t xml:space="preserve">4. Scope of Services – Business Consultant Engagement</w:t>
      </w:r>
    </w:p>
    <w:p>
      <w:pPr>
        <w:pStyle w:val="FirstParagraph"/>
      </w:pPr>
      <w:r>
        <w:t xml:space="preserve">This</w:t>
      </w:r>
      <w:r>
        <w:t xml:space="preserve"> </w:t>
      </w:r>
      <w:r>
        <w:t xml:space="preserve">Purchase Order</w:t>
      </w:r>
      <w:r>
        <w:t xml:space="preserve"> </w:t>
      </w:r>
      <w:r>
        <w:t xml:space="preserve">is issued to formally engage the above-named</w:t>
      </w:r>
      <w:r>
        <w:t xml:space="preserve"> </w:t>
      </w:r>
      <w:r>
        <w:t xml:space="preserve">Business Consultant</w:t>
      </w:r>
      <w:r>
        <w:t xml:space="preserve"> </w:t>
      </w:r>
      <w:r>
        <w:t xml:space="preserve">to provide comprehensive strategic advisory services to Accra Enterprise Holdings Limited. The engagement is structured to support the company's operational expansion, market entry strategy, and organizational restructuring within the</w:t>
      </w:r>
      <w:r>
        <w:t xml:space="preserve"> </w:t>
      </w:r>
      <w:r>
        <w:t xml:space="preserve">Ghana Accra</w:t>
      </w:r>
      <w:r>
        <w:t xml:space="preserve"> </w:t>
      </w:r>
      <w:r>
        <w:t xml:space="preserve">metropolitan business environment. The</w:t>
      </w:r>
      <w:r>
        <w:t xml:space="preserve"> </w:t>
      </w:r>
      <w:r>
        <w:t xml:space="preserve">Business Consultant</w:t>
      </w:r>
      <w:r>
        <w:t xml:space="preserve"> </w:t>
      </w:r>
      <w:r>
        <w:t xml:space="preserve">shall deliver the following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Strategic Business Planning &amp; Market Analysis for the Ghana Accra commercial sector, including competitor benchmarking and SWOT assessment</w:t>
            </w:r>
          </w:p>
        </w:tc>
        <w:tc>
          <w:tcPr/>
          <w:p>
            <w:pPr>
              <w:pStyle w:val="Compact"/>
              <w:jc w:val="left"/>
            </w:pPr>
            <w:r>
              <w:t xml:space="preserve">3 Months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02</w:t>
            </w:r>
          </w:p>
        </w:tc>
        <w:tc>
          <w:tcPr/>
          <w:p>
            <w:pPr>
              <w:pStyle w:val="Compact"/>
              <w:jc w:val="left"/>
            </w:pPr>
            <w:r>
              <w:t xml:space="preserve">Operational Process Optimization and Supply Chain Advisory tailored to local logistics infrastructure in Ghana Accra</w:t>
            </w:r>
          </w:p>
        </w:tc>
        <w:tc>
          <w:tcPr/>
          <w:p>
            <w:pPr>
              <w:pStyle w:val="Compact"/>
              <w:jc w:val="left"/>
            </w:pPr>
            <w:r>
              <w:t xml:space="preserve">4 Months</w:t>
            </w:r>
          </w:p>
        </w:tc>
        <w:tc>
          <w:tcPr/>
          <w:p>
            <w:pPr>
              <w:pStyle w:val="Compact"/>
              <w:jc w:val="left"/>
            </w:pPr>
            <w:r>
              <w:t xml:space="preserve">38,000.00</w:t>
            </w:r>
          </w:p>
        </w:tc>
        <w:tc>
          <w:tcPr/>
          <w:p>
            <w:pPr>
              <w:pStyle w:val="Compact"/>
              <w:jc w:val="left"/>
            </w:pPr>
            <w:r>
              <w:t xml:space="preserve">152,000.00</w:t>
            </w:r>
          </w:p>
        </w:tc>
      </w:tr>
      <w:tr>
        <w:tc>
          <w:tcPr/>
          <w:p>
            <w:pPr>
              <w:pStyle w:val="Compact"/>
              <w:jc w:val="left"/>
            </w:pPr>
            <w:r>
              <w:t xml:space="preserve">03</w:t>
            </w:r>
          </w:p>
        </w:tc>
        <w:tc>
          <w:tcPr/>
          <w:p>
            <w:pPr>
              <w:pStyle w:val="Compact"/>
              <w:jc w:val="left"/>
            </w:pPr>
            <w:r>
              <w:t xml:space="preserve">Organizational Restructuring and Human Capital Development Framework design</w:t>
            </w:r>
          </w:p>
        </w:tc>
        <w:tc>
          <w:tcPr/>
          <w:p>
            <w:pPr>
              <w:pStyle w:val="Compact"/>
              <w:jc w:val="left"/>
            </w:pPr>
            <w:r>
              <w:t xml:space="preserve">2 Months</w:t>
            </w:r>
          </w:p>
        </w:tc>
        <w:tc>
          <w:tcPr/>
          <w:p>
            <w:pPr>
              <w:pStyle w:val="Compact"/>
              <w:jc w:val="left"/>
            </w:pPr>
            <w:r>
              <w:t xml:space="preserve">42,000.00</w:t>
            </w:r>
          </w:p>
        </w:tc>
        <w:tc>
          <w:tcPr/>
          <w:p>
            <w:pPr>
              <w:pStyle w:val="Compact"/>
              <w:jc w:val="left"/>
            </w:pPr>
            <w:r>
              <w:t xml:space="preserve">84,000.00</w:t>
            </w:r>
          </w:p>
        </w:tc>
      </w:tr>
      <w:tr>
        <w:tc>
          <w:tcPr/>
          <w:p>
            <w:pPr>
              <w:pStyle w:val="Compact"/>
              <w:jc w:val="left"/>
            </w:pPr>
            <w:r>
              <w:t xml:space="preserve">04</w:t>
            </w:r>
          </w:p>
        </w:tc>
        <w:tc>
          <w:tcPr/>
          <w:p>
            <w:pPr>
              <w:pStyle w:val="Compact"/>
              <w:jc w:val="left"/>
            </w:pPr>
            <w:r>
              <w:t xml:space="preserve">Financial Modelling, Risk Assessment, and Investment Readiness Review</w:t>
            </w:r>
          </w:p>
        </w:tc>
        <w:tc>
          <w:tcPr/>
          <w:p>
            <w:pPr>
              <w:pStyle w:val="Compact"/>
              <w:jc w:val="left"/>
            </w:pPr>
            <w:r>
              <w:t xml:space="preserve">2 Months</w:t>
            </w:r>
          </w:p>
        </w:tc>
        <w:tc>
          <w:tcPr/>
          <w:p>
            <w:pPr>
              <w:pStyle w:val="Compact"/>
              <w:jc w:val="left"/>
            </w:pPr>
            <w:r>
              <w:t xml:space="preserve">40,000.00</w:t>
            </w:r>
          </w:p>
        </w:tc>
        <w:tc>
          <w:tcPr/>
          <w:p>
            <w:pPr>
              <w:pStyle w:val="Compact"/>
              <w:jc w:val="left"/>
            </w:pPr>
            <w:r>
              <w:t xml:space="preserve">80,000.00</w:t>
            </w:r>
          </w:p>
        </w:tc>
      </w:tr>
      <w:tr>
        <w:tc>
          <w:tcPr/>
          <w:p>
            <w:pPr>
              <w:pStyle w:val="Compact"/>
              <w:jc w:val="left"/>
            </w:pPr>
            <w:r>
              <w:t xml:space="preserve">05</w:t>
            </w:r>
          </w:p>
        </w:tc>
        <w:tc>
          <w:tcPr/>
          <w:p>
            <w:pPr>
              <w:pStyle w:val="Compact"/>
              <w:jc w:val="left"/>
            </w:pPr>
            <w:r>
              <w:t xml:space="preserve">Regulatory Compliance Advisory (Ghana Revenue Authority, Data Protection Commission, and local Accra municipal licensing)</w:t>
            </w:r>
          </w:p>
        </w:tc>
        <w:tc>
          <w:tcPr/>
          <w:p>
            <w:pPr>
              <w:pStyle w:val="Compact"/>
              <w:jc w:val="left"/>
            </w:pPr>
            <w:r>
              <w:t xml:space="preserve">1 Month</w:t>
            </w:r>
          </w:p>
        </w:tc>
        <w:tc>
          <w:tcPr/>
          <w:p>
            <w:pPr>
              <w:pStyle w:val="Compact"/>
              <w:jc w:val="left"/>
            </w:pPr>
            <w:r>
              <w:t xml:space="preserve">35,000.00</w:t>
            </w:r>
          </w:p>
        </w:tc>
        <w:tc>
          <w:tcPr/>
          <w:p>
            <w:pPr>
              <w:pStyle w:val="Compact"/>
              <w:jc w:val="left"/>
            </w:pPr>
            <w:r>
              <w:t xml:space="preserve">35,000.00</w:t>
            </w:r>
          </w:p>
        </w:tc>
      </w:tr>
      <w:tr>
        <w:tc>
          <w:tcPr>
            <w:gridSpan w:val="4"/>
          </w:tcPr>
          <w:p>
            <w:pPr>
              <w:pStyle w:val="Compact"/>
              <w:jc w:val="left"/>
            </w:pPr>
            <w:r>
              <w:t xml:space="preserve">TOTAL CONTRACT VALUE</w:t>
            </w:r>
          </w:p>
        </w:tc>
        <w:tc>
          <w:tcPr/>
          <w:p>
            <w:pPr>
              <w:pStyle w:val="Compact"/>
              <w:jc w:val="left"/>
            </w:pPr>
            <w:r>
              <w:t xml:space="preserve">GHS 486,000.00</w:t>
            </w:r>
          </w:p>
        </w:tc>
      </w:tr>
    </w:tbl>
    <w:bookmarkEnd w:id="24"/>
    <w:bookmarkStart w:id="25" w:name="payment-schedule"/>
    <w:p>
      <w:pPr>
        <w:pStyle w:val="Heading2"/>
      </w:pPr>
      <w:r>
        <w:t xml:space="preserve">5.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(GHS)</w:t>
            </w:r>
          </w:p>
        </w:tc>
        <w:tc>
          <w:tcPr/>
          <w:p>
            <w:pPr>
              <w:pStyle w:val="Compact"/>
              <w:jc w:val="left"/>
            </w:pPr>
            <w:r>
              <w:t xml:space="preserve">Due Date</w:t>
            </w:r>
          </w:p>
        </w:tc>
      </w:tr>
      <w:tr>
        <w:tc>
          <w:tcPr/>
          <w:p>
            <w:pPr>
              <w:pStyle w:val="Compact"/>
              <w:jc w:val="left"/>
            </w:pPr>
            <w:r>
              <w:t xml:space="preserve">Contract Execution &amp; Mobilization</w:t>
            </w:r>
          </w:p>
        </w:tc>
        <w:tc>
          <w:tcPr/>
          <w:p>
            <w:pPr>
              <w:pStyle w:val="Compact"/>
              <w:jc w:val="left"/>
            </w:pPr>
            <w:r>
              <w:t xml:space="preserve">15%</w:t>
            </w:r>
          </w:p>
        </w:tc>
        <w:tc>
          <w:tcPr/>
          <w:p>
            <w:pPr>
              <w:pStyle w:val="Compact"/>
              <w:jc w:val="left"/>
            </w:pPr>
            <w:r>
              <w:t xml:space="preserve">72,900.00</w:t>
            </w:r>
          </w:p>
        </w:tc>
        <w:tc>
          <w:tcPr/>
          <w:p>
            <w:pPr>
              <w:pStyle w:val="Compact"/>
              <w:jc w:val="left"/>
            </w:pPr>
            <w:r>
              <w:t xml:space="preserve">01 July 2025</w:t>
            </w:r>
          </w:p>
        </w:tc>
      </w:tr>
      <w:tr>
        <w:tc>
          <w:tcPr/>
          <w:p>
            <w:pPr>
              <w:pStyle w:val="Compact"/>
              <w:jc w:val="left"/>
            </w:pPr>
            <w:r>
              <w:t xml:space="preserve">Completion of Strategic Planning Phase</w:t>
            </w:r>
          </w:p>
        </w:tc>
        <w:tc>
          <w:tcPr/>
          <w:p>
            <w:pPr>
              <w:pStyle w:val="Compact"/>
              <w:jc w:val="left"/>
            </w:pPr>
            <w:r>
              <w:t xml:space="preserve">25%</w:t>
            </w:r>
          </w:p>
        </w:tc>
        <w:tc>
          <w:tcPr/>
          <w:p>
            <w:pPr>
              <w:pStyle w:val="Compact"/>
              <w:jc w:val="left"/>
            </w:pPr>
            <w:r>
              <w:t xml:space="preserve">121,500.00</w:t>
            </w:r>
          </w:p>
        </w:tc>
        <w:tc>
          <w:tcPr/>
          <w:p>
            <w:pPr>
              <w:pStyle w:val="Compact"/>
              <w:jc w:val="left"/>
            </w:pPr>
            <w:r>
              <w:t xml:space="preserve">30 September 2025</w:t>
            </w:r>
          </w:p>
        </w:tc>
      </w:tr>
      <w:tr>
        <w:tc>
          <w:tcPr/>
          <w:p>
            <w:pPr>
              <w:pStyle w:val="Compact"/>
              <w:jc w:val="left"/>
            </w:pPr>
            <w:r>
              <w:t xml:space="preserve">Completion of Operational Optimization Phase</w:t>
            </w:r>
          </w:p>
        </w:tc>
        <w:tc>
          <w:tcPr/>
          <w:p>
            <w:pPr>
              <w:pStyle w:val="Compact"/>
              <w:jc w:val="left"/>
            </w:pPr>
            <w:r>
              <w:t xml:space="preserve">30%</w:t>
            </w:r>
          </w:p>
        </w:tc>
        <w:tc>
          <w:tcPr/>
          <w:p>
            <w:pPr>
              <w:pStyle w:val="Compact"/>
              <w:jc w:val="left"/>
            </w:pPr>
            <w:r>
              <w:t xml:space="preserve">145,800.00</w:t>
            </w:r>
          </w:p>
        </w:tc>
        <w:tc>
          <w:tcPr/>
          <w:p>
            <w:pPr>
              <w:pStyle w:val="Compact"/>
              <w:jc w:val="left"/>
            </w:pPr>
            <w:r>
              <w:t xml:space="preserve">31 January 2026</w:t>
            </w:r>
          </w:p>
        </w:tc>
      </w:tr>
      <w:tr>
        <w:tc>
          <w:tcPr/>
          <w:p>
            <w:pPr>
              <w:pStyle w:val="Compact"/>
              <w:jc w:val="left"/>
            </w:pPr>
            <w:r>
              <w:t xml:space="preserve">Completion of Restructuring &amp; Financial Modelling</w:t>
            </w:r>
          </w:p>
        </w:tc>
        <w:tc>
          <w:tcPr/>
          <w:p>
            <w:pPr>
              <w:pStyle w:val="Compact"/>
              <w:jc w:val="left"/>
            </w:pPr>
            <w:r>
              <w:t xml:space="preserve">20%</w:t>
            </w:r>
          </w:p>
        </w:tc>
        <w:tc>
          <w:tcPr/>
          <w:p>
            <w:pPr>
              <w:pStyle w:val="Compact"/>
              <w:jc w:val="left"/>
            </w:pPr>
            <w:r>
              <w:t xml:space="preserve">97,200.00</w:t>
            </w:r>
          </w:p>
        </w:tc>
        <w:tc>
          <w:tcPr/>
          <w:p>
            <w:pPr>
              <w:pStyle w:val="Compact"/>
              <w:jc w:val="left"/>
            </w:pPr>
            <w:r>
              <w:t xml:space="preserve">30 April 2026</w:t>
            </w:r>
          </w:p>
        </w:tc>
      </w:tr>
      <w:tr>
        <w:tc>
          <w:tcPr/>
          <w:p>
            <w:pPr>
              <w:pStyle w:val="Compact"/>
              <w:jc w:val="left"/>
            </w:pPr>
            <w:r>
              <w:t xml:space="preserve">Final Deliverables &amp; Compliance Sign-off</w:t>
            </w:r>
          </w:p>
        </w:tc>
        <w:tc>
          <w:tcPr/>
          <w:p>
            <w:pPr>
              <w:pStyle w:val="Compact"/>
              <w:jc w:val="left"/>
            </w:pPr>
            <w:r>
              <w:t xml:space="preserve">10%</w:t>
            </w:r>
          </w:p>
        </w:tc>
        <w:tc>
          <w:tcPr/>
          <w:p>
            <w:pPr>
              <w:pStyle w:val="Compact"/>
              <w:jc w:val="left"/>
            </w:pPr>
            <w:r>
              <w:t xml:space="preserve">48,600.00</w:t>
            </w:r>
          </w:p>
        </w:tc>
        <w:tc>
          <w:tcPr/>
          <w:p>
            <w:pPr>
              <w:pStyle w:val="Compact"/>
              <w:jc w:val="left"/>
            </w:pPr>
            <w:r>
              <w:t xml:space="preserve">30 June 2026</w:t>
            </w:r>
          </w:p>
        </w:tc>
      </w:tr>
    </w:tbl>
    <w:bookmarkEnd w:id="25"/>
    <w:bookmarkStart w:id="26" w:name="terms-and-conditions"/>
    <w:p>
      <w:pPr>
        <w:pStyle w:val="Heading2"/>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Accra Enterprise Holdings Limited and the appointed</w:t>
      </w:r>
      <w:r>
        <w:t xml:space="preserve"> </w:t>
      </w:r>
      <w:r>
        <w:t xml:space="preserve">Business Consultant</w:t>
      </w:r>
      <w:r>
        <w:t xml:space="preserve"> </w:t>
      </w:r>
      <w:r>
        <w:t xml:space="preserve">upon signature by both parties. All terms are governed by the laws of the Republic of Ghana, specifically the Contracts Act, 1961 (Act 25) and applicable provisions of the Ghanaian Companies Act, 2019 (Act 992).</w:t>
      </w:r>
    </w:p>
    <w:p>
      <w:pPr>
        <w:numPr>
          <w:ilvl w:val="0"/>
          <w:numId w:val="1001"/>
        </w:numPr>
        <w:pStyle w:val="Compact"/>
      </w:pPr>
      <w:r>
        <w:t xml:space="preserve">The</w:t>
      </w:r>
      <w:r>
        <w:t xml:space="preserve"> </w:t>
      </w:r>
      <w:r>
        <w:t xml:space="preserve">Business Consultant</w:t>
      </w:r>
      <w:r>
        <w:t xml:space="preserve"> </w:t>
      </w:r>
      <w:r>
        <w:t xml:space="preserve">shall perform all duties and deliverables from the designated office location in</w:t>
      </w:r>
      <w:r>
        <w:t xml:space="preserve"> </w:t>
      </w:r>
      <w:r>
        <w:t xml:space="preserve">Ghana Accra</w:t>
      </w:r>
      <w:r>
        <w:t xml:space="preserve">, with a minimum of four (4) on-site working days per week at the client's premises. Remote work may be conducted for up to one (1) day per week with prior written approval.</w:t>
      </w:r>
    </w:p>
    <w:p>
      <w:pPr>
        <w:numPr>
          <w:ilvl w:val="0"/>
          <w:numId w:val="1001"/>
        </w:numPr>
        <w:pStyle w:val="Compact"/>
      </w:pPr>
      <w:r>
        <w:t xml:space="preserve">All intellectual property, reports, strategic documents, and analytical frameworks produced under this</w:t>
      </w:r>
      <w:r>
        <w:t xml:space="preserve"> </w:t>
      </w:r>
      <w:r>
        <w:t xml:space="preserve">Purchase Order</w:t>
      </w:r>
      <w:r>
        <w:t xml:space="preserve"> </w:t>
      </w:r>
      <w:r>
        <w:t xml:space="preserve">shall be the sole property of Accra Enterprise Holdings Limited upon full payment of the corresponding milestone.</w:t>
      </w:r>
    </w:p>
    <w:p>
      <w:pPr>
        <w:numPr>
          <w:ilvl w:val="0"/>
          <w:numId w:val="1001"/>
        </w:numPr>
        <w:pStyle w:val="Compact"/>
      </w:pPr>
      <w:r>
        <w:t xml:space="preserve">The</w:t>
      </w:r>
      <w:r>
        <w:t xml:space="preserve"> </w:t>
      </w:r>
      <w:r>
        <w:t xml:space="preserve">Business Consultant</w:t>
      </w:r>
      <w:r>
        <w:t xml:space="preserve"> </w:t>
      </w:r>
      <w:r>
        <w:t xml:space="preserve">is required to maintain professional indemnity insurance with a minimum coverage of GHS 2,000,000.00 throughout the engagement period and shall provide a certificate of insurance upon request.</w:t>
      </w:r>
    </w:p>
    <w:p>
      <w:pPr>
        <w:numPr>
          <w:ilvl w:val="0"/>
          <w:numId w:val="1001"/>
        </w:numPr>
        <w:pStyle w:val="Compact"/>
      </w:pPr>
      <w:r>
        <w:t xml:space="preserve">Confidentiality: The</w:t>
      </w:r>
      <w:r>
        <w:t xml:space="preserve"> </w:t>
      </w:r>
      <w:r>
        <w:t xml:space="preserve">Business Consultant</w:t>
      </w:r>
      <w:r>
        <w:t xml:space="preserve"> </w:t>
      </w:r>
      <w:r>
        <w:t xml:space="preserve">shall treat all proprietary business information, financial data, and strategic plans of the client as strictly confidential. This obligation survives the termination of this</w:t>
      </w:r>
      <w:r>
        <w:t xml:space="preserve"> </w:t>
      </w:r>
      <w:r>
        <w:t xml:space="preserve">Purchase Order</w:t>
      </w:r>
      <w:r>
        <w:t xml:space="preserve"> </w:t>
      </w:r>
      <w:r>
        <w:t xml:space="preserve">for a period of five (5) years.</w:t>
      </w:r>
    </w:p>
    <w:p>
      <w:pPr>
        <w:numPr>
          <w:ilvl w:val="0"/>
          <w:numId w:val="1001"/>
        </w:numPr>
        <w:pStyle w:val="Compact"/>
      </w:pPr>
      <w:r>
        <w:t xml:space="preserve">Any disputes arising from this</w:t>
      </w:r>
      <w:r>
        <w:t xml:space="preserve"> </w:t>
      </w:r>
      <w:r>
        <w:t xml:space="preserve">Purchase Order</w:t>
      </w:r>
      <w:r>
        <w:t xml:space="preserve"> </w:t>
      </w:r>
      <w:r>
        <w:t xml:space="preserve">shall first be subject to mediation in</w:t>
      </w:r>
      <w:r>
        <w:t xml:space="preserve"> </w:t>
      </w:r>
      <w:r>
        <w:t xml:space="preserve">Ghana Accra</w:t>
      </w:r>
      <w:r>
        <w:t xml:space="preserve"> </w:t>
      </w:r>
      <w:r>
        <w:t xml:space="preserve">in accordance with the Mediation Act, 2010 (Act 824). Should mediation fail, the matter shall be referred to the courts of competent jurisdiction in Accra, Ghana.</w:t>
      </w:r>
    </w:p>
    <w:p>
      <w:pPr>
        <w:numPr>
          <w:ilvl w:val="0"/>
          <w:numId w:val="1001"/>
        </w:numPr>
        <w:pStyle w:val="Compact"/>
      </w:pPr>
      <w:r>
        <w:t xml:space="preserve">The client reserves the right to terminate this</w:t>
      </w:r>
      <w:r>
        <w:t xml:space="preserve"> </w:t>
      </w:r>
      <w:r>
        <w:t xml:space="preserve">Purchase Order</w:t>
      </w:r>
      <w:r>
        <w:t xml:space="preserve"> </w:t>
      </w:r>
      <w:r>
        <w:t xml:space="preserve">with thirty (30) days' written notice in the event of material breach by the</w:t>
      </w:r>
      <w:r>
        <w:t xml:space="preserve"> </w:t>
      </w:r>
      <w:r>
        <w:t xml:space="preserve">Business Consultant</w:t>
      </w:r>
      <w:r>
        <w:t xml:space="preserve">, including but not limited to failure to meet agreed deliverable timelines or violation of confidentiality obligations.</w:t>
      </w:r>
    </w:p>
    <w:p>
      <w:pPr>
        <w:numPr>
          <w:ilvl w:val="0"/>
          <w:numId w:val="1001"/>
        </w:numPr>
        <w:pStyle w:val="Compact"/>
      </w:pPr>
      <w:r>
        <w:t xml:space="preserve">All invoices submitted by the</w:t>
      </w:r>
      <w:r>
        <w:t xml:space="preserve"> </w:t>
      </w:r>
      <w:r>
        <w:t xml:space="preserve">Business Consultant</w:t>
      </w:r>
      <w:r>
        <w:t xml:space="preserve"> </w:t>
      </w:r>
      <w:r>
        <w:t xml:space="preserve">must reference this</w:t>
      </w:r>
      <w:r>
        <w:t xml:space="preserve"> </w:t>
      </w:r>
      <w:r>
        <w:t xml:space="preserve">Purchase Order</w:t>
      </w:r>
      <w:r>
        <w:t xml:space="preserve"> </w:t>
      </w:r>
      <w:r>
        <w:t xml:space="preserve">number (GH-ACC-2025-00472) and shall be accompanied by a detailed timesheet and supporting documentation. Payment shall be processed within thirty (30) calendar days of receipt of a valid invoice.</w:t>
      </w:r>
    </w:p>
    <w:p>
      <w:pPr>
        <w:numPr>
          <w:ilvl w:val="0"/>
          <w:numId w:val="1001"/>
        </w:numPr>
        <w:pStyle w:val="Compact"/>
      </w:pPr>
      <w:r>
        <w:t xml:space="preserve">The</w:t>
      </w:r>
      <w:r>
        <w:t xml:space="preserve"> </w:t>
      </w:r>
      <w:r>
        <w:t xml:space="preserve">Business Consultant</w:t>
      </w:r>
      <w:r>
        <w:t xml:space="preserve"> </w:t>
      </w:r>
      <w:r>
        <w:t xml:space="preserve">shall comply with all applicable tax obligations in Ghana, including the remittance of Personal Income Tax (PIT) and Value Added Tax (VAT) where applicable, in accordance with the provisions of the Ghana Revenue Authority.</w:t>
      </w:r>
    </w:p>
    <w:p>
      <w:pPr>
        <w:numPr>
          <w:ilvl w:val="0"/>
          <w:numId w:val="1001"/>
        </w:numPr>
        <w:pStyle w:val="Compact"/>
      </w:pPr>
      <w:r>
        <w:t xml:space="preserve">This</w:t>
      </w:r>
      <w:r>
        <w:t xml:space="preserve"> </w:t>
      </w:r>
      <w:r>
        <w:t xml:space="preserve">Purchase Order</w:t>
      </w:r>
      <w:r>
        <w:t xml:space="preserve"> </w:t>
      </w:r>
      <w:r>
        <w:t xml:space="preserve">may be amended only by mutual written agreement signed by both parties. No verbal modifications shall be considered valid or enforceable.</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Business Consultant</w:t>
      </w:r>
      <w:r>
        <w:t xml:space="preserve"> </w:t>
      </w:r>
      <w:r>
        <w:t xml:space="preserve">in</w:t>
      </w:r>
      <w:r>
        <w:t xml:space="preserve"> </w:t>
      </w:r>
      <w:r>
        <w:t xml:space="preserve">Ghana Accra</w:t>
      </w:r>
      <w:r>
        <w:t xml:space="preserve">.</w:t>
      </w:r>
    </w:p>
    <w:p>
      <w:pPr>
        <w:pStyle w:val="BodyText"/>
      </w:pPr>
      <w:r>
        <w:rPr>
          <w:bCs/>
          <w:b/>
        </w:rPr>
        <w:t xml:space="preserve">For and on behalf of the Buyer:</w:t>
      </w:r>
      <w:r>
        <w:br/>
      </w:r>
      <w:r>
        <w:br/>
      </w:r>
      <w:r>
        <w:t xml:space="preserve">Name: Mr. Kwame Asante</w:t>
      </w:r>
      <w:r>
        <w:br/>
      </w:r>
      <w:r>
        <w:t xml:space="preserve">Title: Chief Executive Officer</w:t>
      </w:r>
      <w:r>
        <w:br/>
      </w:r>
      <w:r>
        <w:t xml:space="preserve">Company: Accra Enterprise Holdings Limited</w:t>
      </w:r>
      <w:r>
        <w:br/>
      </w:r>
      <w:r>
        <w:t xml:space="preserve">Signature: _________________________</w:t>
      </w:r>
      <w:r>
        <w:br/>
      </w:r>
      <w:r>
        <w:t xml:space="preserve">Date: _________________________</w:t>
      </w:r>
    </w:p>
    <w:p>
      <w:pPr>
        <w:pStyle w:val="BodyText"/>
      </w:pPr>
      <w:r>
        <w:rPr>
          <w:bCs/>
          <w:b/>
        </w:rPr>
        <w:t xml:space="preserve">For and on behalf of the Business Consultant:</w:t>
      </w:r>
      <w:r>
        <w:br/>
      </w:r>
      <w:r>
        <w:br/>
      </w:r>
      <w:r>
        <w:t xml:space="preserve">Name: Ms. Efua Mensah</w:t>
      </w:r>
      <w:r>
        <w:br/>
      </w:r>
      <w:r>
        <w:t xml:space="preserve">Title: Lead Business Consultant</w:t>
      </w:r>
      <w:r>
        <w:br/>
      </w:r>
      <w:r>
        <w:t xml:space="preserve">Firm: Mensah Strategic Advisory LLC</w:t>
      </w:r>
      <w:r>
        <w:br/>
      </w:r>
      <w:r>
        <w:t xml:space="preserve">Signature: _________________________</w:t>
      </w:r>
      <w:r>
        <w:br/>
      </w:r>
      <w:r>
        <w:t xml:space="preserve">Date: _________________________</w:t>
      </w:r>
    </w:p>
    <w:bookmarkEnd w:id="27"/>
    <w:p>
      <w:pPr>
        <w:pStyle w:val="BodyText"/>
      </w:pPr>
      <w:r>
        <w:t xml:space="preserve">This Purchase Order (GH-ACC-2025-00472) was issued by Accra Enterprise Holdings Limited, 12 Independence Avenue, Ghana Accra. This document is valid for a period of ninety (90) days from the date of issue. For queries, contact the Procurement Department at procurement@accraenterprise.com.gh or +233 302 555 0147.</w:t>
      </w:r>
    </w:p>
    <w:p>
      <w:pPr>
        <w:pStyle w:val="BodyText"/>
      </w:pPr>
      <w:r>
        <w:t xml:space="preserve">Document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Ghana Accra</dc:title>
  <dc:creator/>
  <dc:language>en</dc:language>
  <cp:keywords/>
  <dcterms:created xsi:type="dcterms:W3CDTF">2026-10-10T03:52:45Z</dcterms:created>
  <dcterms:modified xsi:type="dcterms:W3CDTF">2026-10-10T03:52:45Z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