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Business</w:t>
      </w:r>
      <w:r>
        <w:t xml:space="preserve"> </w:t>
      </w:r>
      <w:r>
        <w:t xml:space="preserve">Consultant</w:t>
      </w:r>
      <w:r>
        <w:t xml:space="preserve"> </w:t>
      </w:r>
      <w:r>
        <w:t xml:space="preserve">-</w:t>
      </w:r>
      <w:r>
        <w:t xml:space="preserve"> </w:t>
      </w:r>
      <w:r>
        <w:t xml:space="preserve">Israel</w:t>
      </w:r>
      <w:r>
        <w:t xml:space="preserve"> </w:t>
      </w:r>
      <w:r>
        <w:t xml:space="preserve">Tel</w:t>
      </w:r>
      <w:r>
        <w:t xml:space="preserve"> </w:t>
      </w:r>
      <w:r>
        <w:t xml:space="preserve">Aviv</w:t>
      </w:r>
    </w:p>
    <w:bookmarkStart w:id="20" w:name="purchase-order"/>
    <w:p>
      <w:pPr>
        <w:pStyle w:val="Heading1"/>
      </w:pPr>
      <w:r>
        <w:t xml:space="preserve">PURCHASE ORDER</w:t>
      </w:r>
    </w:p>
    <w:p>
      <w:pPr>
        <w:pStyle w:val="FirstParagraph"/>
      </w:pPr>
      <w:r>
        <w:t xml:space="preserve">Business Consultant Services — Israel Tel Aviv</w:t>
      </w:r>
    </w:p>
    <w:p>
      <w:pPr>
        <w:pStyle w:val="BodyText"/>
      </w:pPr>
      <w:r>
        <w:t xml:space="preserve">Document Reference: PO-IL-TLV-2025-0472</w:t>
      </w:r>
    </w:p>
    <w:bookmarkEnd w:id="20"/>
    <w:p>
      <w:pPr>
        <w:pStyle w:val="BodyText"/>
      </w:pPr>
      <w:r>
        <w:rPr>
          <w:bCs/>
          <w:b/>
        </w:rPr>
        <w:t xml:space="preserve">Purchase Order No.:</w:t>
      </w:r>
      <w:r>
        <w:t xml:space="preserve"> </w:t>
      </w:r>
      <w:r>
        <w:t xml:space="preserve">PO-IL-TLV-2025-0472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r>
        <w:br/>
      </w:r>
      <w:r>
        <w:rPr>
          <w:bCs/>
          <w:b/>
        </w:rPr>
        <w:t xml:space="preserve">Currency:</w:t>
      </w:r>
      <w:r>
        <w:t xml:space="preserve"> </w:t>
      </w:r>
      <w:r>
        <w:t xml:space="preserve">Israeli New Shekel (ILS / NIS)</w:t>
      </w:r>
    </w:p>
    <w:p>
      <w:pPr>
        <w:pStyle w:val="BodyText"/>
      </w:pPr>
      <w:r>
        <w:rPr>
          <w:bCs/>
          <w:b/>
        </w:rPr>
        <w:t xml:space="preserve">Payment Terms:</w:t>
      </w:r>
      <w:r>
        <w:t xml:space="preserve"> </w:t>
      </w:r>
      <w:r>
        <w:t xml:space="preserve">Net 30 Days</w:t>
      </w:r>
      <w:r>
        <w:br/>
      </w:r>
      <w:r>
        <w:rPr>
          <w:bCs/>
          <w:b/>
        </w:rPr>
        <w:t xml:space="preserve">Delivery Location:</w:t>
      </w:r>
      <w:r>
        <w:t xml:space="preserve"> </w:t>
      </w:r>
      <w:r>
        <w:t xml:space="preserve">Tel Aviv, Israel</w:t>
      </w:r>
      <w:r>
        <w:br/>
      </w:r>
      <w:r>
        <w:rPr>
          <w:bCs/>
          <w:b/>
        </w:rPr>
        <w:t xml:space="preserve">Governing Law:</w:t>
      </w:r>
      <w:r>
        <w:t xml:space="preserve"> </w:t>
      </w:r>
      <w:r>
        <w:t xml:space="preserve">State of Israel</w:t>
      </w:r>
      <w:r>
        <w:br/>
      </w:r>
      <w:r>
        <w:rPr>
          <w:bCs/>
          <w:b/>
        </w:rPr>
        <w:t xml:space="preserve">Incoterms:</w:t>
      </w:r>
      <w:r>
        <w:t xml:space="preserve"> </w:t>
      </w:r>
      <w:r>
        <w:t xml:space="preserve">N/A (Services)</w:t>
      </w:r>
    </w:p>
    <w:p>
      <w:pPr>
        <w:pStyle w:val="BodyText"/>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(Issuing Party)</w:t>
            </w:r>
          </w:p>
        </w:tc>
        <w:tc>
          <w:tcPr/>
          <w:p>
            <w:pPr>
              <w:pStyle w:val="Compact"/>
              <w:jc w:val="left"/>
            </w:pPr>
            <w:r>
              <w:t xml:space="preserve">Seller (Service Provider)</w:t>
            </w:r>
          </w:p>
        </w:tc>
      </w:tr>
      <w:tr>
        <w:tc>
          <w:tcPr/>
          <w:p>
            <w:pPr>
              <w:pStyle w:val="Compact"/>
              <w:jc w:val="left"/>
            </w:pPr>
            <w:r>
              <w:rPr>
                <w:bCs/>
                <w:b/>
              </w:rPr>
              <w:t xml:space="preserve">Company Name:</w:t>
            </w:r>
            <w:r>
              <w:t xml:space="preserve"> </w:t>
            </w:r>
            <w:r>
              <w:t xml:space="preserve">Levant Digital Solutions Ltd.</w:t>
            </w:r>
            <w:r>
              <w:br/>
            </w:r>
            <w:r>
              <w:rPr>
                <w:bCs/>
                <w:b/>
              </w:rPr>
              <w:t xml:space="preserve">Address:</w:t>
            </w:r>
            <w:r>
              <w:t xml:space="preserve"> </w:t>
            </w:r>
            <w:r>
              <w:t xml:space="preserve">45 Allenby Street, Tel Aviv-Yafo, Israel 6510300</w:t>
            </w:r>
            <w:r>
              <w:br/>
            </w:r>
            <w:r>
              <w:rPr>
                <w:bCs/>
                <w:b/>
              </w:rPr>
              <w:t xml:space="preserve">VAT Number:</w:t>
            </w:r>
            <w:r>
              <w:t xml:space="preserve"> </w:t>
            </w:r>
            <w:r>
              <w:t xml:space="preserve">51-804-221-77</w:t>
            </w:r>
            <w:r>
              <w:br/>
            </w:r>
            <w:r>
              <w:rPr>
                <w:bCs/>
                <w:b/>
              </w:rPr>
              <w:t xml:space="preserve">Contact Person:</w:t>
            </w:r>
            <w:r>
              <w:t xml:space="preserve"> </w:t>
            </w:r>
            <w:r>
              <w:t xml:space="preserve">Mr. David Ben-Ami, Chief Financial Officer</w:t>
            </w:r>
            <w:r>
              <w:br/>
            </w:r>
            <w:r>
              <w:rPr>
                <w:bCs/>
                <w:b/>
              </w:rPr>
              <w:t xml:space="preserve">Email:</w:t>
            </w:r>
            <w:r>
              <w:t xml:space="preserve"> </w:t>
            </w:r>
            <w:r>
              <w:t xml:space="preserve">d.benami@levantdigital.co.il</w:t>
            </w:r>
            <w:r>
              <w:br/>
            </w:r>
            <w:r>
              <w:rPr>
                <w:bCs/>
                <w:b/>
              </w:rPr>
              <w:t xml:space="preserve">Phone:</w:t>
            </w:r>
            <w:r>
              <w:t xml:space="preserve"> </w:t>
            </w:r>
            <w:r>
              <w:t xml:space="preserve">+972-3-621-4488</w:t>
            </w:r>
          </w:p>
        </w:tc>
        <w:tc>
          <w:tcPr/>
          <w:p>
            <w:pPr>
              <w:pStyle w:val="Compact"/>
              <w:jc w:val="left"/>
            </w:pPr>
            <w:r>
              <w:rPr>
                <w:bCs/>
                <w:b/>
              </w:rPr>
              <w:t xml:space="preserve">Company Name:</w:t>
            </w:r>
            <w:r>
              <w:t xml:space="preserve"> </w:t>
            </w:r>
            <w:r>
              <w:t xml:space="preserve">Horizon Strategy &amp; Consulting Group</w:t>
            </w:r>
            <w:r>
              <w:br/>
            </w:r>
            <w:r>
              <w:rPr>
                <w:bCs/>
                <w:b/>
              </w:rPr>
              <w:t xml:space="preserve">Address:</w:t>
            </w:r>
            <w:r>
              <w:t xml:space="preserve"> </w:t>
            </w:r>
            <w:r>
              <w:t xml:space="preserve">12 Rothschild Boulevard, Tel Aviv, Israel 6522500</w:t>
            </w:r>
            <w:r>
              <w:br/>
            </w:r>
            <w:r>
              <w:rPr>
                <w:bCs/>
                <w:b/>
              </w:rPr>
              <w:t xml:space="preserve">VAT Number:</w:t>
            </w:r>
            <w:r>
              <w:t xml:space="preserve"> </w:t>
            </w:r>
            <w:r>
              <w:t xml:space="preserve">51-917-553-02</w:t>
            </w:r>
            <w:r>
              <w:br/>
            </w:r>
            <w:r>
              <w:rPr>
                <w:bCs/>
                <w:b/>
              </w:rPr>
              <w:t xml:space="preserve">Contact Person:</w:t>
            </w:r>
            <w:r>
              <w:t xml:space="preserve"> </w:t>
            </w:r>
            <w:r>
              <w:t xml:space="preserve">Ms. Rachel Goldstein, Managing Partner</w:t>
            </w:r>
            <w:r>
              <w:br/>
            </w:r>
            <w:r>
              <w:rPr>
                <w:bCs/>
                <w:b/>
              </w:rPr>
              <w:t xml:space="preserve">Email:</w:t>
            </w:r>
            <w:r>
              <w:t xml:space="preserve"> </w:t>
            </w:r>
            <w:r>
              <w:t xml:space="preserve">r.goldstein@horizonstrategy.co.il</w:t>
            </w:r>
            <w:r>
              <w:br/>
            </w:r>
            <w:r>
              <w:rPr>
                <w:bCs/>
                <w:b/>
              </w:rPr>
              <w:t xml:space="preserve">Phone:</w:t>
            </w:r>
            <w:r>
              <w:t xml:space="preserve"> </w:t>
            </w:r>
            <w:r>
              <w:t xml:space="preserve">+972-3-517-9922</w:t>
            </w:r>
          </w:p>
        </w:tc>
      </w:tr>
    </w:tbl>
    <w:p>
      <w:pPr>
        <w:pStyle w:val="BodyText"/>
      </w:pPr>
      <w:r>
        <w:t xml:space="preserve">2. SCOPE OF ENGAGEMENT — BUSINESS CONSULTANT SERVICES</w:t>
      </w:r>
    </w:p>
    <w:p>
      <w:pPr>
        <w:pStyle w:val="BodyText"/>
      </w:pPr>
      <w:r>
        <w:t xml:space="preserve">This</w:t>
      </w:r>
      <w:r>
        <w:t xml:space="preserve"> </w:t>
      </w:r>
      <w:r>
        <w:t xml:space="preserve">Purchase Order</w:t>
      </w:r>
      <w:r>
        <w:t xml:space="preserve"> </w:t>
      </w:r>
      <w:r>
        <w:t xml:space="preserve">is issued by Levant Digital Solutions Ltd. to formally engage Horizon Strategy &amp; Consulting Group as a</w:t>
      </w:r>
      <w:r>
        <w:t xml:space="preserve"> </w:t>
      </w:r>
      <w:r>
        <w:t xml:space="preserve">Business Consultant</w:t>
      </w:r>
      <w:r>
        <w:t xml:space="preserve"> </w:t>
      </w:r>
      <w:r>
        <w:t xml:space="preserve">to provide strategic advisory, operational optimization, and market-entry planning services. The</w:t>
      </w:r>
      <w:r>
        <w:t xml:space="preserve"> </w:t>
      </w:r>
      <w:r>
        <w:t xml:space="preserve">Business Consultant</w:t>
      </w:r>
      <w:r>
        <w:t xml:space="preserve"> </w:t>
      </w:r>
      <w:r>
        <w:t xml:space="preserve">shall perform all professional duties in accordance with the standards expected of a licensed management consultant operating within</w:t>
      </w:r>
      <w:r>
        <w:t xml:space="preserve"> </w:t>
      </w:r>
      <w:r>
        <w:t xml:space="preserve">Israel Tel Aviv</w:t>
      </w:r>
      <w:r>
        <w:t xml:space="preserve"> </w:t>
      </w:r>
      <w:r>
        <w:t xml:space="preserve">and in compliance with the Israeli Companies Law, 5759-1999, and the relevant regulations of the Israel Tax Authority. The engagement is specifically tailored to the commercial and regulatory environment of</w:t>
      </w:r>
      <w:r>
        <w:t xml:space="preserve"> </w:t>
      </w:r>
      <w:r>
        <w:t xml:space="preserve">Israel Tel Aviv</w:t>
      </w:r>
      <w:r>
        <w:t xml:space="preserve">, including but not limited to local labor market analysis, municipal licensing requirements, and sector-specific compliance obligations applicable to businesses registered in the Tel Aviv-Yafo municipality.</w:t>
      </w:r>
    </w:p>
    <w:p>
      <w:pPr>
        <w:pStyle w:val="BodyText"/>
      </w:pPr>
      <w:r>
        <w:t xml:space="preserve">3. LINE ITEMS — SERVICES AND FEES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Business Consultant Services</w:t>
            </w:r>
          </w:p>
        </w:tc>
        <w:tc>
          <w:tcPr/>
          <w:p>
            <w:pPr>
              <w:pStyle w:val="Compact"/>
              <w:jc w:val="left"/>
            </w:pPr>
            <w:r>
              <w:t xml:space="preserve">Duration</w:t>
            </w:r>
          </w:p>
        </w:tc>
        <w:tc>
          <w:tcPr/>
          <w:p>
            <w:pPr>
              <w:pStyle w:val="Compact"/>
              <w:jc w:val="left"/>
            </w:pPr>
            <w:r>
              <w:t xml:space="preserve">Rate (ILS)</w:t>
            </w:r>
          </w:p>
        </w:tc>
        <w:tc>
          <w:tcPr/>
          <w:p>
            <w:pPr>
              <w:pStyle w:val="Compact"/>
              <w:jc w:val="left"/>
            </w:pPr>
            <w:r>
              <w:t xml:space="preserve">Amount (ILS)</w:t>
            </w:r>
          </w:p>
        </w:tc>
        <w:tc>
          <w:tcPr/>
          <w:p>
            <w:pPr>
              <w:pStyle w:val="Compact"/>
              <w:jc w:val="left"/>
            </w:pPr>
            <w:r>
              <w:t xml:space="preserve">VAT (18%)</w:t>
            </w:r>
          </w:p>
        </w:tc>
      </w:tr>
      <w:tr>
        <w:tc>
          <w:tcPr/>
          <w:p>
            <w:pPr>
              <w:pStyle w:val="Compact"/>
              <w:jc w:val="left"/>
            </w:pPr>
            <w:r>
              <w:t xml:space="preserve">1</w:t>
            </w:r>
          </w:p>
        </w:tc>
        <w:tc>
          <w:tcPr/>
          <w:p>
            <w:pPr>
              <w:pStyle w:val="Compact"/>
              <w:jc w:val="left"/>
            </w:pPr>
            <w:r>
              <w:t xml:space="preserve">Strategic Business Planning &amp; Market Analysis for Tel Aviv Technology Sector</w:t>
            </w:r>
          </w:p>
        </w:tc>
        <w:tc>
          <w:tcPr/>
          <w:p>
            <w:pPr>
              <w:pStyle w:val="Compact"/>
              <w:jc w:val="left"/>
            </w:pPr>
            <w:r>
              <w:t xml:space="preserve">3 months</w:t>
            </w:r>
          </w:p>
        </w:tc>
        <w:tc>
          <w:tcPr/>
          <w:p>
            <w:pPr>
              <w:pStyle w:val="Compact"/>
              <w:jc w:val="left"/>
            </w:pPr>
            <w:r>
              <w:t xml:space="preserve">18,500 / month</w:t>
            </w:r>
          </w:p>
        </w:tc>
        <w:tc>
          <w:tcPr/>
          <w:p>
            <w:pPr>
              <w:pStyle w:val="Compact"/>
              <w:jc w:val="left"/>
            </w:pPr>
            <w:r>
              <w:t xml:space="preserve">55,500.00</w:t>
            </w:r>
          </w:p>
        </w:tc>
        <w:tc>
          <w:tcPr/>
          <w:p>
            <w:pPr>
              <w:pStyle w:val="Compact"/>
              <w:jc w:val="left"/>
            </w:pPr>
            <w:r>
              <w:t xml:space="preserve">9,990.00</w:t>
            </w:r>
          </w:p>
        </w:tc>
      </w:tr>
      <w:tr>
        <w:tc>
          <w:tcPr/>
          <w:p>
            <w:pPr>
              <w:pStyle w:val="Compact"/>
              <w:jc w:val="left"/>
            </w:pPr>
            <w:r>
              <w:t xml:space="preserve">2</w:t>
            </w:r>
          </w:p>
        </w:tc>
        <w:tc>
          <w:tcPr/>
          <w:p>
            <w:pPr>
              <w:pStyle w:val="Compact"/>
              <w:jc w:val="left"/>
            </w:pPr>
            <w:r>
              <w:t xml:space="preserve">Operational Process Optimization &amp; Workflow Redesign</w:t>
            </w:r>
          </w:p>
        </w:tc>
        <w:tc>
          <w:tcPr/>
          <w:p>
            <w:pPr>
              <w:pStyle w:val="Compact"/>
              <w:jc w:val="left"/>
            </w:pPr>
            <w:r>
              <w:t xml:space="preserve">2 months</w:t>
            </w:r>
          </w:p>
        </w:tc>
        <w:tc>
          <w:tcPr/>
          <w:p>
            <w:pPr>
              <w:pStyle w:val="Compact"/>
              <w:jc w:val="left"/>
            </w:pPr>
            <w:r>
              <w:t xml:space="preserve">15,000 / month</w:t>
            </w:r>
          </w:p>
        </w:tc>
        <w:tc>
          <w:tcPr/>
          <w:p>
            <w:pPr>
              <w:pStyle w:val="Compact"/>
              <w:jc w:val="left"/>
            </w:pPr>
            <w:r>
              <w:t xml:space="preserve">30,000.00</w:t>
            </w:r>
          </w:p>
        </w:tc>
        <w:tc>
          <w:tcPr/>
          <w:p>
            <w:pPr>
              <w:pStyle w:val="Compact"/>
              <w:jc w:val="left"/>
            </w:pPr>
            <w:r>
              <w:t xml:space="preserve">5,400.00</w:t>
            </w:r>
          </w:p>
        </w:tc>
      </w:tr>
      <w:tr>
        <w:tc>
          <w:tcPr/>
          <w:p>
            <w:pPr>
              <w:pStyle w:val="Compact"/>
              <w:jc w:val="left"/>
            </w:pPr>
            <w:r>
              <w:t xml:space="preserve">3</w:t>
            </w:r>
          </w:p>
        </w:tc>
        <w:tc>
          <w:tcPr/>
          <w:p>
            <w:pPr>
              <w:pStyle w:val="Compact"/>
              <w:jc w:val="left"/>
            </w:pPr>
            <w:r>
              <w:t xml:space="preserve">Regulatory Compliance Advisory (Israeli Companies Law, Labor Law, Tax Authority)</w:t>
            </w:r>
          </w:p>
        </w:tc>
        <w:tc>
          <w:tcPr/>
          <w:p>
            <w:pPr>
              <w:pStyle w:val="Compact"/>
              <w:jc w:val="left"/>
            </w:pPr>
            <w:r>
              <w:t xml:space="preserve">1 month</w:t>
            </w:r>
          </w:p>
        </w:tc>
        <w:tc>
          <w:tcPr/>
          <w:p>
            <w:pPr>
              <w:pStyle w:val="Compact"/>
              <w:jc w:val="left"/>
            </w:pPr>
            <w:r>
              <w:t xml:space="preserve">12,000 / month</w:t>
            </w:r>
          </w:p>
        </w:tc>
        <w:tc>
          <w:tcPr/>
          <w:p>
            <w:pPr>
              <w:pStyle w:val="Compact"/>
              <w:jc w:val="left"/>
            </w:pPr>
            <w:r>
              <w:t xml:space="preserve">12,000.00</w:t>
            </w:r>
          </w:p>
        </w:tc>
        <w:tc>
          <w:tcPr/>
          <w:p>
            <w:pPr>
              <w:pStyle w:val="Compact"/>
              <w:jc w:val="left"/>
            </w:pPr>
            <w:r>
              <w:t xml:space="preserve">2,160.00</w:t>
            </w:r>
          </w:p>
        </w:tc>
      </w:tr>
      <w:tr>
        <w:tc>
          <w:tcPr/>
          <w:p>
            <w:pPr>
              <w:pStyle w:val="Compact"/>
              <w:jc w:val="left"/>
            </w:pPr>
            <w:r>
              <w:t xml:space="preserve">4</w:t>
            </w:r>
          </w:p>
        </w:tc>
        <w:tc>
          <w:tcPr/>
          <w:p>
            <w:pPr>
              <w:pStyle w:val="Compact"/>
              <w:jc w:val="left"/>
            </w:pPr>
            <w:r>
              <w:t xml:space="preserve">Business Expansion Feasibility Study — New Office in Tel Aviv Port Area</w:t>
            </w:r>
          </w:p>
        </w:tc>
        <w:tc>
          <w:tcPr/>
          <w:p>
            <w:pPr>
              <w:pStyle w:val="Compact"/>
              <w:jc w:val="left"/>
            </w:pPr>
            <w:r>
              <w:t xml:space="preserve">6 weeks</w:t>
            </w:r>
          </w:p>
        </w:tc>
        <w:tc>
          <w:tcPr/>
          <w:p>
            <w:pPr>
              <w:pStyle w:val="Compact"/>
              <w:jc w:val="left"/>
            </w:pPr>
            <w:r>
              <w:t xml:space="preserve">9,500 / week</w:t>
            </w:r>
          </w:p>
        </w:tc>
        <w:tc>
          <w:tcPr/>
          <w:p>
            <w:pPr>
              <w:pStyle w:val="Compact"/>
              <w:jc w:val="left"/>
            </w:pPr>
            <w:r>
              <w:t xml:space="preserve">57,000.00</w:t>
            </w:r>
          </w:p>
        </w:tc>
        <w:tc>
          <w:tcPr/>
          <w:p>
            <w:pPr>
              <w:pStyle w:val="Compact"/>
              <w:jc w:val="left"/>
            </w:pPr>
            <w:r>
              <w:t xml:space="preserve">10,260.00</w:t>
            </w:r>
          </w:p>
        </w:tc>
      </w:tr>
      <w:tr>
        <w:tc>
          <w:tcPr/>
          <w:p>
            <w:pPr>
              <w:pStyle w:val="Compact"/>
              <w:jc w:val="left"/>
            </w:pPr>
            <w:r>
              <w:t xml:space="preserve">5</w:t>
            </w:r>
          </w:p>
        </w:tc>
        <w:tc>
          <w:tcPr/>
          <w:p>
            <w:pPr>
              <w:pStyle w:val="Compact"/>
              <w:jc w:val="left"/>
            </w:pPr>
            <w:r>
              <w:t xml:space="preserve">Executive Coaching &amp; Leadership Development for C-Suite (4 sessions)</w:t>
            </w:r>
          </w:p>
        </w:tc>
        <w:tc>
          <w:tcPr/>
          <w:p>
            <w:pPr>
              <w:pStyle w:val="Compact"/>
              <w:jc w:val="left"/>
            </w:pPr>
            <w:r>
              <w:t xml:space="preserve">2 months</w:t>
            </w:r>
          </w:p>
        </w:tc>
        <w:tc>
          <w:tcPr/>
          <w:p>
            <w:pPr>
              <w:pStyle w:val="Compact"/>
              <w:jc w:val="left"/>
            </w:pPr>
            <w:r>
              <w:t xml:space="preserve">4,250 / session</w:t>
            </w:r>
          </w:p>
        </w:tc>
        <w:tc>
          <w:tcPr/>
          <w:p>
            <w:pPr>
              <w:pStyle w:val="Compact"/>
              <w:jc w:val="left"/>
            </w:pPr>
            <w:r>
              <w:t xml:space="preserve">17,000.00</w:t>
            </w:r>
          </w:p>
        </w:tc>
        <w:tc>
          <w:tcPr/>
          <w:p>
            <w:pPr>
              <w:pStyle w:val="Compact"/>
              <w:jc w:val="left"/>
            </w:pPr>
            <w:r>
              <w:t xml:space="preserve">3,060.00</w:t>
            </w:r>
          </w:p>
        </w:tc>
      </w:tr>
      <w:tr>
        <w:tc>
          <w:tcPr>
            <w:gridSpan w:val="4"/>
          </w:tcPr>
          <w:p>
            <w:pPr>
              <w:pStyle w:val="Compact"/>
              <w:jc w:val="right"/>
            </w:pPr>
            <w:r>
              <w:t xml:space="preserve">Subtotal (Excl. VAT)</w:t>
            </w:r>
          </w:p>
        </w:tc>
        <w:tc>
          <w:tcPr/>
          <w:p>
            <w:pPr>
              <w:pStyle w:val="Compact"/>
              <w:jc w:val="left"/>
            </w:pPr>
            <w:r>
              <w:t xml:space="preserve">171,500.00</w:t>
            </w:r>
          </w:p>
        </w:tc>
        <w:tc>
          <w:tcPr/>
          <w:p>
            <w:pPr>
              <w:pStyle w:val="Compact"/>
              <w:jc w:val="left"/>
            </w:pPr>
            <w:r>
              <w:t xml:space="preserve">30,870.00</w:t>
            </w:r>
          </w:p>
        </w:tc>
      </w:tr>
      <w:tr>
        <w:tc>
          <w:tcPr>
            <w:gridSpan w:val="4"/>
          </w:tcPr>
          <w:p>
            <w:pPr>
              <w:pStyle w:val="Compact"/>
              <w:jc w:val="right"/>
            </w:pPr>
            <w:r>
              <w:t xml:space="preserve">TOTAL AMOUNT DUE (Incl. 18% VAT)</w:t>
            </w:r>
          </w:p>
        </w:tc>
        <w:tc>
          <w:tcPr>
            <w:gridSpan w:val="2"/>
          </w:tcPr>
          <w:p>
            <w:pPr>
              <w:pStyle w:val="Compact"/>
              <w:jc w:val="right"/>
            </w:pPr>
            <w:r>
              <w:t xml:space="preserve">202,370.00 ILS</w:t>
            </w:r>
          </w:p>
        </w:tc>
      </w:tr>
    </w:tbl>
    <w:p>
      <w:pPr>
        <w:pStyle w:val="BodyText"/>
      </w:pPr>
      <w:r>
        <w:t xml:space="preserve">4. PAYMENT TERMS &amp; INSTRUCTIONS</w:t>
      </w:r>
    </w:p>
    <w:p>
      <w:pPr>
        <w:pStyle w:val="BodyText"/>
      </w:pPr>
      <w:r>
        <w:t xml:space="preserve">All payments under this</w:t>
      </w:r>
      <w:r>
        <w:t xml:space="preserve"> </w:t>
      </w:r>
      <w:r>
        <w:t xml:space="preserve">Purchase Order</w:t>
      </w:r>
      <w:r>
        <w:t xml:space="preserve"> </w:t>
      </w:r>
      <w:r>
        <w:t xml:space="preserve">shall be made in Israeli New Shekels (ILS) via bank transfer to the account of Horizon Strategy &amp; Consulting Group. The</w:t>
      </w:r>
      <w:r>
        <w:t xml:space="preserve"> </w:t>
      </w:r>
      <w:r>
        <w:t xml:space="preserve">Business Consultant</w:t>
      </w:r>
      <w:r>
        <w:t xml:space="preserve"> </w:t>
      </w:r>
      <w:r>
        <w:t xml:space="preserve">shall submit itemized invoices on a monthly basis, and payment shall be due within thirty (30) calendar days from the date of invoice receipt. Late payments shall accrue interest at the rate prescribed by the Israeli Interest Law, 5713-1953, as amended. The buyer shall remit funds to the following account: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Bank</w:t>
            </w:r>
          </w:p>
        </w:tc>
        <w:tc>
          <w:tcPr/>
          <w:p>
            <w:pPr>
              <w:pStyle w:val="Compact"/>
              <w:jc w:val="left"/>
            </w:pPr>
            <w:r>
              <w:t xml:space="preserve">Branch</w:t>
            </w:r>
          </w:p>
        </w:tc>
        <w:tc>
          <w:tcPr/>
          <w:p>
            <w:pPr>
              <w:pStyle w:val="Compact"/>
              <w:jc w:val="left"/>
            </w:pPr>
            <w:r>
              <w:t xml:space="preserve">Account Name</w:t>
            </w:r>
          </w:p>
        </w:tc>
        <w:tc>
          <w:tcPr/>
          <w:p>
            <w:pPr>
              <w:pStyle w:val="Compact"/>
              <w:jc w:val="left"/>
            </w:pPr>
            <w:r>
              <w:t xml:space="preserve">Account Number</w:t>
            </w:r>
          </w:p>
        </w:tc>
        <w:tc>
          <w:tcPr/>
          <w:p>
            <w:pPr>
              <w:pStyle w:val="Compact"/>
              <w:jc w:val="left"/>
            </w:pPr>
            <w:r>
              <w:t xml:space="preserve">IBAN</w:t>
            </w:r>
          </w:p>
        </w:tc>
      </w:tr>
      <w:tr>
        <w:tc>
          <w:tcPr/>
          <w:p>
            <w:pPr>
              <w:pStyle w:val="Compact"/>
              <w:jc w:val="left"/>
            </w:pPr>
            <w:r>
              <w:t xml:space="preserve">Bank Hapoalim</w:t>
            </w:r>
          </w:p>
        </w:tc>
        <w:tc>
          <w:tcPr/>
          <w:p>
            <w:pPr>
              <w:pStyle w:val="Compact"/>
              <w:jc w:val="left"/>
            </w:pPr>
            <w:r>
              <w:t xml:space="preserve">Tel Aviv Central</w:t>
            </w:r>
          </w:p>
        </w:tc>
        <w:tc>
          <w:tcPr/>
          <w:p>
            <w:pPr>
              <w:pStyle w:val="Compact"/>
              <w:jc w:val="left"/>
            </w:pPr>
            <w:r>
              <w:t xml:space="preserve">Horizon Strategy &amp; Consulting Group</w:t>
            </w:r>
          </w:p>
        </w:tc>
        <w:tc>
          <w:tcPr/>
          <w:p>
            <w:pPr>
              <w:pStyle w:val="Compact"/>
              <w:jc w:val="left"/>
            </w:pPr>
            <w:r>
              <w:t xml:space="preserve">001-123456-7</w:t>
            </w:r>
          </w:p>
        </w:tc>
        <w:tc>
          <w:tcPr/>
          <w:p>
            <w:pPr>
              <w:pStyle w:val="Compact"/>
              <w:jc w:val="left"/>
            </w:pPr>
            <w:r>
              <w:t xml:space="preserve">IL16 0100 0000 0000 1234 567</w:t>
            </w:r>
          </w:p>
        </w:tc>
      </w:tr>
    </w:tbl>
    <w:p>
      <w:pPr>
        <w:pStyle w:val="BodyText"/>
      </w:pPr>
      <w:r>
        <w:t xml:space="preserve">5.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parties upon signature and shall be governed by and interpreted in accordance with the laws of the State of Israel, specifically the laws applicable in</w:t>
      </w:r>
      <w:r>
        <w:t xml:space="preserve"> </w:t>
      </w:r>
      <w:r>
        <w:t xml:space="preserve">Israel Tel Aviv</w:t>
      </w:r>
      <w:r>
        <w:t xml:space="preserve">.</w:t>
      </w:r>
    </w:p>
    <w:p>
      <w:pPr>
        <w:numPr>
          <w:ilvl w:val="0"/>
          <w:numId w:val="1001"/>
        </w:numPr>
        <w:pStyle w:val="Compact"/>
      </w:pPr>
      <w:r>
        <w:t xml:space="preserve">The</w:t>
      </w:r>
      <w:r>
        <w:t xml:space="preserve"> </w:t>
      </w:r>
      <w:r>
        <w:t xml:space="preserve">Business Consultant</w:t>
      </w:r>
      <w:r>
        <w:t xml:space="preserve"> </w:t>
      </w:r>
      <w:r>
        <w:t xml:space="preserve">shall maintain full professional confidentiality regarding all proprietary information, trade secrets, and business strategies disclosed by the buyer during the course of the engagement. A separate Non-Disclosure Agreement (NDA) executed on 10 June 2025 supplements this</w:t>
      </w:r>
      <w:r>
        <w:t xml:space="preserve"> </w:t>
      </w:r>
      <w:r>
        <w:t xml:space="preserve">Purchase Order</w:t>
      </w:r>
      <w:r>
        <w:t xml:space="preserve">.</w:t>
      </w:r>
    </w:p>
    <w:p>
      <w:pPr>
        <w:numPr>
          <w:ilvl w:val="0"/>
          <w:numId w:val="1001"/>
        </w:numPr>
        <w:pStyle w:val="Compact"/>
      </w:pPr>
      <w:r>
        <w:t xml:space="preserve">All deliverables, reports, and strategic documents produced by the</w:t>
      </w:r>
      <w:r>
        <w:t xml:space="preserve"> </w:t>
      </w:r>
      <w:r>
        <w:t xml:space="preserve">Business Consultant</w:t>
      </w:r>
      <w:r>
        <w:t xml:space="preserve"> </w:t>
      </w:r>
      <w:r>
        <w:t xml:space="preserve">shall become the exclusive intellectual property of Levant Digital Solutions Ltd. upon full payment of the fees stipulated herein.</w:t>
      </w:r>
    </w:p>
    <w:p>
      <w:pPr>
        <w:numPr>
          <w:ilvl w:val="0"/>
          <w:numId w:val="1001"/>
        </w:numPr>
        <w:pStyle w:val="Compact"/>
      </w:pPr>
      <w:r>
        <w:t xml:space="preserve">The</w:t>
      </w:r>
      <w:r>
        <w:t xml:space="preserve"> </w:t>
      </w:r>
      <w:r>
        <w:t xml:space="preserve">Business Consultant</w:t>
      </w:r>
      <w:r>
        <w:t xml:space="preserve"> </w:t>
      </w:r>
      <w:r>
        <w:t xml:space="preserve">warrants that all services shall be performed in a professional, diligent, and workmanlike manner consistent with the standards of practice for management consultants registered with the Israeli Institute of Management Consultants.</w:t>
      </w:r>
    </w:p>
    <w:p>
      <w:pPr>
        <w:numPr>
          <w:ilvl w:val="0"/>
          <w:numId w:val="1001"/>
        </w:numPr>
        <w:pStyle w:val="Compact"/>
      </w:pPr>
      <w:r>
        <w:t xml:space="preserve">Either party may terminate this</w:t>
      </w:r>
      <w:r>
        <w:t xml:space="preserve"> </w:t>
      </w:r>
      <w:r>
        <w:t xml:space="preserve">Purchase Order</w:t>
      </w:r>
      <w:r>
        <w:t xml:space="preserve"> </w:t>
      </w:r>
      <w:r>
        <w:t xml:space="preserve">with thirty (30) days' written notice. In the event of early termination, the buyer shall be liable for all services rendered up to the termination date, plus a cancellation fee of 10% of the remaining contract value.</w:t>
      </w:r>
    </w:p>
    <w:p>
      <w:pPr>
        <w:numPr>
          <w:ilvl w:val="0"/>
          <w:numId w:val="1001"/>
        </w:numPr>
        <w:pStyle w:val="Compact"/>
      </w:pPr>
      <w:r>
        <w:t xml:space="preserve">All disputes arising from or in connection with this</w:t>
      </w:r>
      <w:r>
        <w:t xml:space="preserve"> </w:t>
      </w:r>
      <w:r>
        <w:t xml:space="preserve">Purchase Order</w:t>
      </w:r>
      <w:r>
        <w:t xml:space="preserve"> </w:t>
      </w:r>
      <w:r>
        <w:t xml:space="preserve">shall be subject to the exclusive jurisdiction of the competent courts in Tel Aviv, Israel. The parties agree to attempt mediation through the Tel Aviv District Court Mediation Center before initiating any formal litigation.</w:t>
      </w:r>
    </w:p>
    <w:p>
      <w:pPr>
        <w:numPr>
          <w:ilvl w:val="0"/>
          <w:numId w:val="1001"/>
        </w:numPr>
        <w:pStyle w:val="Compact"/>
      </w:pPr>
      <w:r>
        <w:t xml:space="preserve">The</w:t>
      </w:r>
      <w:r>
        <w:t xml:space="preserve"> </w:t>
      </w:r>
      <w:r>
        <w:t xml:space="preserve">Business Consultant</w:t>
      </w:r>
      <w:r>
        <w:t xml:space="preserve"> </w:t>
      </w:r>
      <w:r>
        <w:t xml:space="preserve">shall comply with all applicable Israeli labor laws, social security obligations (Bituach Leumi), and tax withholding requirements. The consultant is engaged as an independent contractor and not as an employee of the buyer.</w:t>
      </w:r>
    </w:p>
    <w:p>
      <w:pPr>
        <w:numPr>
          <w:ilvl w:val="0"/>
          <w:numId w:val="1001"/>
        </w:numPr>
        <w:pStyle w:val="Compact"/>
      </w:pPr>
      <w:r>
        <w:t xml:space="preserve">Force majeure events, including but not limited to acts of war, terrorism, government sanctions, or public health emergencies affecting</w:t>
      </w:r>
      <w:r>
        <w:t xml:space="preserve"> </w:t>
      </w:r>
      <w:r>
        <w:t xml:space="preserve">Israel Tel Aviv</w:t>
      </w:r>
      <w:r>
        <w:t xml:space="preserve">, shall suspend the obligations of both parties for the duration of the event, provided that written notice is given within five (5) business days.</w:t>
      </w:r>
    </w:p>
    <w:p>
      <w:pPr>
        <w:numPr>
          <w:ilvl w:val="0"/>
          <w:numId w:val="1001"/>
        </w:numPr>
        <w:pStyle w:val="Compact"/>
      </w:pPr>
      <w:r>
        <w:t xml:space="preserve">This</w:t>
      </w:r>
      <w:r>
        <w:t xml:space="preserve"> </w:t>
      </w:r>
      <w:r>
        <w:t xml:space="preserve">Purchase Order</w:t>
      </w:r>
      <w:r>
        <w:t xml:space="preserve"> </w:t>
      </w:r>
      <w:r>
        <w:t xml:space="preserve">is valid for a period of six (6) months from the date of issue. Any amendments or modifications must be made in writing and signed by authorized representatives of both parties.</w:t>
      </w:r>
    </w:p>
    <w:p>
      <w:pPr>
        <w:numPr>
          <w:ilvl w:val="0"/>
          <w:numId w:val="1001"/>
        </w:numPr>
        <w:pStyle w:val="Compact"/>
      </w:pPr>
      <w:r>
        <w:t xml:space="preserve">The</w:t>
      </w:r>
      <w:r>
        <w:t xml:space="preserve"> </w:t>
      </w:r>
      <w:r>
        <w:t xml:space="preserve">Business Consultant</w:t>
      </w:r>
      <w:r>
        <w:t xml:space="preserve"> </w:t>
      </w:r>
      <w:r>
        <w:t xml:space="preserve">shall carry professional indemnity insurance with a minimum coverage of ILS 2,000,000, valid throughout the term of this engagement in</w:t>
      </w:r>
      <w:r>
        <w:t xml:space="preserve"> </w:t>
      </w:r>
      <w:r>
        <w:t xml:space="preserve">Israel Tel Aviv</w:t>
      </w:r>
      <w:r>
        <w:t xml:space="preserve">.</w:t>
      </w:r>
    </w:p>
    <w:p>
      <w:pPr>
        <w:pStyle w:val="FirstParagraph"/>
      </w:pPr>
      <w:r>
        <w:t xml:space="preserve">6. AUTHORIZED SIGNATURES</w:t>
      </w:r>
    </w:p>
    <w:p>
      <w:pPr>
        <w:pStyle w:val="BodyText"/>
      </w:pPr>
      <w:r>
        <w:rPr>
          <w:bCs/>
          <w:b/>
        </w:rPr>
        <w:t xml:space="preserve">For and on behalf of the Buyer:</w:t>
      </w:r>
    </w:p>
    <w:p>
      <w:pPr>
        <w:pStyle w:val="BodyText"/>
      </w:pPr>
      <w:r>
        <w:t xml:space="preserve">Levant Digital Solutions Ltd.</w:t>
      </w:r>
    </w:p>
    <w:p>
      <w:pPr>
        <w:pStyle w:val="BodyText"/>
      </w:pPr>
      <w:r>
        <w:t xml:space="preserve">Name: David Ben-Ami</w:t>
      </w:r>
      <w:r>
        <w:br/>
      </w:r>
      <w:r>
        <w:t xml:space="preserve">Title: Chief Financial Officer</w:t>
      </w:r>
      <w:r>
        <w:br/>
      </w:r>
      <w:r>
        <w:t xml:space="preserve">Signature: _________________________</w:t>
      </w:r>
      <w:r>
        <w:br/>
      </w:r>
      <w:r>
        <w:t xml:space="preserve">Date: 14 June 2025</w:t>
      </w:r>
    </w:p>
    <w:p>
      <w:pPr>
        <w:pStyle w:val="BodyText"/>
      </w:pPr>
      <w:r>
        <w:rPr>
          <w:bCs/>
          <w:b/>
        </w:rPr>
        <w:t xml:space="preserve">For and on behalf of the Seller (Business Consultant):</w:t>
      </w:r>
    </w:p>
    <w:p>
      <w:pPr>
        <w:pStyle w:val="BodyText"/>
      </w:pPr>
      <w:r>
        <w:t xml:space="preserve">Horizon Strategy &amp; Consulting Group</w:t>
      </w:r>
    </w:p>
    <w:p>
      <w:pPr>
        <w:pStyle w:val="BodyText"/>
      </w:pPr>
      <w:r>
        <w:t xml:space="preserve">Name: Rachel Goldstein</w:t>
      </w:r>
      <w:r>
        <w:br/>
      </w:r>
      <w:r>
        <w:t xml:space="preserve">Title: Managing Partner</w:t>
      </w:r>
      <w:r>
        <w:br/>
      </w:r>
      <w:r>
        <w:t xml:space="preserve">Signature: _________________________</w:t>
      </w:r>
      <w:r>
        <w:br/>
      </w:r>
      <w:r>
        <w:t xml:space="preserve">Date: 14 June 2025</w:t>
      </w:r>
    </w:p>
    <w:p>
      <w:pPr>
        <w:pStyle w:val="BodyText"/>
      </w:pPr>
      <w:r>
        <w:t xml:space="preserve">This Purchase Order (PO-IL-TLV-2025-0472) was prepared for the engagement of a Business Consultant in Israel Tel Aviv. All references to Israeli law, tax regulations, and municipal requirements are current as of the date of issue. This document is the property of Levant Digital Solutions Ltd. and shall not be reproduced or distributed without prior written consent. For inquiries regarding this Purchase Order, please contact the Procurement Department at procurement@levantdigital.co.il or +972-3-621-4488.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Business Consultant - Israel Tel Aviv</dc:title>
  <dc:creator/>
  <dc:language>en</dc:language>
  <cp:keywords/>
  <dcterms:created xsi:type="dcterms:W3CDTF">2026-10-10T02:44:27Z</dcterms:created>
  <dcterms:modified xsi:type="dcterms:W3CDTF">2026-10-10T02:44:27Z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