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Japan</w:t>
      </w:r>
      <w:r>
        <w:t xml:space="preserve"> </w:t>
      </w:r>
      <w:r>
        <w:t xml:space="preserve">Osaka</w:t>
      </w:r>
    </w:p>
    <w:bookmarkStart w:id="20" w:name="purchase-order"/>
    <w:p>
      <w:pPr>
        <w:pStyle w:val="Heading1"/>
      </w:pPr>
      <w:r>
        <w:t xml:space="preserve">PURCHASE ORDER</w:t>
      </w:r>
    </w:p>
    <w:p>
      <w:pPr>
        <w:pStyle w:val="FirstParagraph"/>
      </w:pPr>
      <w:r>
        <w:t xml:space="preserve">PO-2025-OSK-0472</w:t>
      </w:r>
    </w:p>
    <w:p>
      <w:pPr>
        <w:pStyle w:val="BodyText"/>
      </w:pPr>
      <w:r>
        <w:rPr>
          <w:bCs/>
          <w:b/>
        </w:rPr>
        <w:t xml:space="preserve">Issuing Entity:</w:t>
      </w:r>
      <w:r>
        <w:t xml:space="preserve"> </w:t>
      </w:r>
      <w:r>
        <w:t xml:space="preserve">Kanto Regional Operations Division, Osaka Headquarters</w:t>
      </w:r>
    </w:p>
    <w:p>
      <w:pPr>
        <w:pStyle w:val="BodyText"/>
      </w:pPr>
      <w:r>
        <w:rPr>
          <w:bCs/>
          <w:b/>
        </w:rPr>
        <w:t xml:space="preserve">Location of Engagement:</w:t>
      </w:r>
      <w:r>
        <w:t xml:space="preserve"> </w:t>
      </w:r>
      <w:r>
        <w:t xml:space="preserve">Japan Osaka, Chuo-ku, Dotonbori Business District</w:t>
      </w:r>
    </w:p>
    <w:p>
      <w:pPr>
        <w:pStyle w:val="BodyText"/>
      </w:pPr>
      <w:r>
        <w:rPr>
          <w:bCs/>
          <w:b/>
        </w:rPr>
        <w:t xml:space="preserve">Document Classification:</w:t>
      </w:r>
      <w:r>
        <w:t xml:space="preserve"> </w:t>
      </w:r>
      <w:r>
        <w:t xml:space="preserve">Confidential – Internal Use Only</w:t>
      </w:r>
    </w:p>
    <w:bookmarkEnd w:id="20"/>
    <w:p>
      <w:pPr>
        <w:pStyle w:val="BodyText"/>
      </w:pPr>
      <w:r>
        <w:rPr>
          <w:bCs/>
          <w:b/>
        </w:rPr>
        <w:t xml:space="preserve">Purchase Order No.:</w:t>
      </w:r>
      <w:r>
        <w:t xml:space="preserve"> </w:t>
      </w:r>
      <w:r>
        <w:t xml:space="preserve">PO-2025-OSK-0472</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Payment Terms:</w:t>
      </w:r>
      <w:r>
        <w:t xml:space="preserve"> </w:t>
      </w:r>
      <w:r>
        <w:t xml:space="preserve">Net 45 Days</w:t>
      </w:r>
      <w:r>
        <w:br/>
      </w:r>
      <w:r>
        <w:rPr>
          <w:bCs/>
          <w:b/>
        </w:rPr>
        <w:t xml:space="preserve">Currency:</w:t>
      </w:r>
      <w:r>
        <w:t xml:space="preserve"> </w:t>
      </w:r>
      <w:r>
        <w:t xml:space="preserve">Japanese Yen (JPY)</w:t>
      </w:r>
      <w:r>
        <w:br/>
      </w:r>
      <w:r>
        <w:rPr>
          <w:bCs/>
          <w:b/>
        </w:rPr>
        <w:t xml:space="preserve">Incoterms:</w:t>
      </w:r>
      <w:r>
        <w:t xml:space="preserve"> </w:t>
      </w:r>
      <w:r>
        <w:t xml:space="preserve">N/A (Service Contract)</w:t>
      </w:r>
    </w:p>
    <w:p>
      <w:pPr>
        <w:pStyle w:val="BodyText"/>
      </w:pPr>
      <w:r>
        <w:rPr>
          <w:bCs/>
          <w:b/>
        </w:rPr>
        <w:t xml:space="preserve">Department:</w:t>
      </w:r>
      <w:r>
        <w:t xml:space="preserve"> </w:t>
      </w:r>
      <w:r>
        <w:t xml:space="preserve">Strategic Planning &amp; Advisory</w:t>
      </w:r>
      <w:r>
        <w:br/>
      </w:r>
      <w:r>
        <w:rPr>
          <w:bCs/>
          <w:b/>
        </w:rPr>
        <w:t xml:space="preserve">Cost Center:</w:t>
      </w:r>
      <w:r>
        <w:t xml:space="preserve"> </w:t>
      </w:r>
      <w:r>
        <w:t xml:space="preserve">CC-OSK-2025-0891</w:t>
      </w:r>
      <w:r>
        <w:br/>
      </w:r>
      <w:r>
        <w:rPr>
          <w:bCs/>
          <w:b/>
        </w:rPr>
        <w:t xml:space="preserve">Priority:</w:t>
      </w:r>
      <w:r>
        <w:t xml:space="preserve"> </w:t>
      </w:r>
      <w:r>
        <w:t xml:space="preserve">High</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 Name</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Osaka Metropolitan Development Corporation</w:t>
            </w:r>
          </w:p>
        </w:tc>
        <w:tc>
          <w:tcPr/>
          <w:p>
            <w:pPr>
              <w:pStyle w:val="Compact"/>
              <w:jc w:val="left"/>
            </w:pPr>
            <w:r>
              <w:t xml:space="preserve">1-2-3 Umeda, Kita-ku, Japan Osaka 530-0001</w:t>
            </w:r>
          </w:p>
        </w:tc>
        <w:tc>
          <w:tcPr/>
          <w:p>
            <w:pPr>
              <w:pStyle w:val="Compact"/>
              <w:jc w:val="left"/>
            </w:pPr>
            <w:r>
              <w:t xml:space="preserve">procurement@omdc-osaka.jp</w:t>
            </w:r>
            <w:r>
              <w:br/>
            </w:r>
            <w:r>
              <w:t xml:space="preserve">+81-6-6221-4500</w:t>
            </w:r>
          </w:p>
        </w:tc>
      </w:tr>
      <w:tr>
        <w:tc>
          <w:tcPr/>
          <w:p>
            <w:pPr>
              <w:pStyle w:val="Compact"/>
              <w:jc w:val="left"/>
            </w:pPr>
            <w:r>
              <w:rPr>
                <w:bCs/>
                <w:b/>
              </w:rPr>
              <w:t xml:space="preserve">Seller (Service Provider)</w:t>
            </w:r>
          </w:p>
        </w:tc>
        <w:tc>
          <w:tcPr/>
          <w:p>
            <w:pPr>
              <w:pStyle w:val="Compact"/>
              <w:jc w:val="left"/>
            </w:pPr>
            <w:r>
              <w:t xml:space="preserve">Meridian Strategic Advisory Group K.K.</w:t>
            </w:r>
          </w:p>
        </w:tc>
        <w:tc>
          <w:tcPr/>
          <w:p>
            <w:pPr>
              <w:pStyle w:val="Compact"/>
              <w:jc w:val="left"/>
            </w:pPr>
            <w:r>
              <w:t xml:space="preserve">4-5-6 Namba, Chuo-ku, Japan Osaka 542-0073</w:t>
            </w:r>
          </w:p>
        </w:tc>
        <w:tc>
          <w:tcPr/>
          <w:p>
            <w:pPr>
              <w:pStyle w:val="Compact"/>
              <w:jc w:val="left"/>
            </w:pPr>
            <w:r>
              <w:t xml:space="preserve">contracts@meridian-advisory.jp</w:t>
            </w:r>
            <w:r>
              <w:br/>
            </w:r>
            <w:r>
              <w:t xml:space="preserve">+81-6-4700-8822</w:t>
            </w:r>
          </w:p>
        </w:tc>
      </w:tr>
    </w:tbl>
    <w:bookmarkEnd w:id="21"/>
    <w:bookmarkStart w:id="22" w:name="X3f265700fb112e85daead0486dde52fe0ecdd46"/>
    <w:p>
      <w:pPr>
        <w:pStyle w:val="Heading2"/>
      </w:pPr>
      <w:r>
        <w:t xml:space="preserve">2. Scope of Engagement – Business Consultant Services</w:t>
      </w:r>
    </w:p>
    <w:p>
      <w:pPr>
        <w:pStyle w:val="FirstParagraph"/>
      </w:pPr>
      <w:r>
        <w:t xml:space="preserve">This Purchase Order is issued to formally authorize the procurement of specialized</w:t>
      </w:r>
      <w:r>
        <w:t xml:space="preserve"> </w:t>
      </w:r>
      <w:r>
        <w:rPr>
          <w:bCs/>
          <w:b/>
        </w:rPr>
        <w:t xml:space="preserve">Business Consultant</w:t>
      </w:r>
      <w:r>
        <w:t xml:space="preserve"> </w:t>
      </w:r>
      <w:r>
        <w:t xml:space="preserve">services to be delivered within the metropolitan area of</w:t>
      </w:r>
      <w:r>
        <w:t xml:space="preserve"> </w:t>
      </w:r>
      <w:r>
        <w:rPr>
          <w:bCs/>
          <w:b/>
        </w:rPr>
        <w:t xml:space="preserve">Japan Osaka</w:t>
      </w:r>
      <w:r>
        <w:t xml:space="preserve">. The Business Consultant shall provide comprehensive strategic advisory, operational optimization, and market analysis services tailored to the unique economic landscape of the Kansai region. The engagement is structured to support the Buyer's five-year growth trajectory and to align internal processes with best practices observed across the Japan Osaka business corridor.</w:t>
      </w:r>
    </w:p>
    <w:p>
      <w:pPr>
        <w:pStyle w:val="BodyText"/>
      </w:pPr>
      <w:r>
        <w:t xml:space="preserve">The Business Consultant is expected to conduct on-site assessments at the Buyer's primary facilities located in Japan Osaka, including the Umeda headquarters complex and the Namba logistics center. All deliverables must reflect an in-depth understanding of local regulatory frameworks, labor market dynamics, and competitive positioning specific to the Japan Osaka metropolitan economy.</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Business Consultant Service</w:t>
            </w:r>
          </w:p>
        </w:tc>
        <w:tc>
          <w:tcPr/>
          <w:p>
            <w:pPr>
              <w:pStyle w:val="Compact"/>
              <w:jc w:val="left"/>
            </w:pPr>
            <w:r>
              <w:t xml:space="preserve">Duration</w:t>
            </w:r>
          </w:p>
        </w:tc>
        <w:tc>
          <w:tcPr/>
          <w:p>
            <w:pPr>
              <w:pStyle w:val="Compact"/>
              <w:jc w:val="left"/>
            </w:pPr>
            <w:r>
              <w:t xml:space="preserve">Unit Rate (JPY)</w:t>
            </w:r>
          </w:p>
        </w:tc>
        <w:tc>
          <w:tcPr/>
          <w:p>
            <w:pPr>
              <w:pStyle w:val="Compact"/>
              <w:jc w:val="left"/>
            </w:pPr>
            <w:r>
              <w:t xml:space="preserve">Quantity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Strategic Business Consultant – Organizational Audit &amp; Process Mapping (Japan Osaka offices)</w:t>
            </w:r>
          </w:p>
        </w:tc>
        <w:tc>
          <w:tcPr/>
          <w:p>
            <w:pPr>
              <w:pStyle w:val="Compact"/>
              <w:jc w:val="left"/>
            </w:pPr>
            <w:r>
              <w:t xml:space="preserve">6 weeks</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Business Consultant – Market Entry Analysis for Kansai Region Expansion</w:t>
            </w:r>
          </w:p>
        </w:tc>
        <w:tc>
          <w:tcPr/>
          <w:p>
            <w:pPr>
              <w:pStyle w:val="Compact"/>
              <w:jc w:val="left"/>
            </w:pPr>
            <w:r>
              <w:t xml:space="preserve">4 weeks</w:t>
            </w:r>
          </w:p>
        </w:tc>
        <w:tc>
          <w:tcPr/>
          <w:p>
            <w:pPr>
              <w:pStyle w:val="Compact"/>
              <w:jc w:val="left"/>
            </w:pPr>
            <w:r>
              <w:t xml:space="preserve">380,000</w:t>
            </w:r>
          </w:p>
        </w:tc>
        <w:tc>
          <w:tcPr/>
          <w:p>
            <w:pPr>
              <w:pStyle w:val="Compact"/>
              <w:jc w:val="left"/>
            </w:pPr>
            <w:r>
              <w:t xml:space="preserve">1</w:t>
            </w:r>
          </w:p>
        </w:tc>
        <w:tc>
          <w:tcPr/>
          <w:p>
            <w:pPr>
              <w:pStyle w:val="Compact"/>
              <w:jc w:val="left"/>
            </w:pPr>
            <w:r>
              <w:t xml:space="preserve">380,000</w:t>
            </w:r>
          </w:p>
        </w:tc>
      </w:tr>
      <w:tr>
        <w:tc>
          <w:tcPr/>
          <w:p>
            <w:pPr>
              <w:pStyle w:val="Compact"/>
              <w:jc w:val="left"/>
            </w:pPr>
            <w:r>
              <w:t xml:space="preserve">03</w:t>
            </w:r>
          </w:p>
        </w:tc>
        <w:tc>
          <w:tcPr/>
          <w:p>
            <w:pPr>
              <w:pStyle w:val="Compact"/>
              <w:jc w:val="left"/>
            </w:pPr>
            <w:r>
              <w:t xml:space="preserve">Business Consultant – Supply Chain Optimization Workshop (on-site, Japan Osaka)</w:t>
            </w:r>
          </w:p>
        </w:tc>
        <w:tc>
          <w:tcPr/>
          <w:p>
            <w:pPr>
              <w:pStyle w:val="Compact"/>
              <w:jc w:val="left"/>
            </w:pPr>
            <w:r>
              <w:t xml:space="preserve">2 weeks</w:t>
            </w:r>
          </w:p>
        </w:tc>
        <w:tc>
          <w:tcPr/>
          <w:p>
            <w:pPr>
              <w:pStyle w:val="Compact"/>
              <w:jc w:val="left"/>
            </w:pPr>
            <w:r>
              <w:t xml:space="preserve">520,000</w:t>
            </w:r>
          </w:p>
        </w:tc>
        <w:tc>
          <w:tcPr/>
          <w:p>
            <w:pPr>
              <w:pStyle w:val="Compact"/>
              <w:jc w:val="left"/>
            </w:pPr>
            <w:r>
              <w:t xml:space="preserve">1</w:t>
            </w:r>
          </w:p>
        </w:tc>
        <w:tc>
          <w:tcPr/>
          <w:p>
            <w:pPr>
              <w:pStyle w:val="Compact"/>
              <w:jc w:val="left"/>
            </w:pPr>
            <w:r>
              <w:t xml:space="preserve">520,000</w:t>
            </w:r>
          </w:p>
        </w:tc>
      </w:tr>
      <w:tr>
        <w:tc>
          <w:tcPr/>
          <w:p>
            <w:pPr>
              <w:pStyle w:val="Compact"/>
              <w:jc w:val="left"/>
            </w:pPr>
            <w:r>
              <w:t xml:space="preserve">04</w:t>
            </w:r>
          </w:p>
        </w:tc>
        <w:tc>
          <w:tcPr/>
          <w:p>
            <w:pPr>
              <w:pStyle w:val="Compact"/>
              <w:jc w:val="left"/>
            </w:pPr>
            <w:r>
              <w:t xml:space="preserve">Business Consultant – Financial Modeling &amp; Revenue Forecasting Advisory</w:t>
            </w:r>
          </w:p>
        </w:tc>
        <w:tc>
          <w:tcPr/>
          <w:p>
            <w:pPr>
              <w:pStyle w:val="Compact"/>
              <w:jc w:val="left"/>
            </w:pPr>
            <w:r>
              <w:t xml:space="preserve">3 weeks</w:t>
            </w:r>
          </w:p>
        </w:tc>
        <w:tc>
          <w:tcPr/>
          <w:p>
            <w:pPr>
              <w:pStyle w:val="Compact"/>
              <w:jc w:val="left"/>
            </w:pPr>
            <w:r>
              <w:t xml:space="preserve">410,000</w:t>
            </w:r>
          </w:p>
        </w:tc>
        <w:tc>
          <w:tcPr/>
          <w:p>
            <w:pPr>
              <w:pStyle w:val="Compact"/>
              <w:jc w:val="left"/>
            </w:pPr>
            <w:r>
              <w:t xml:space="preserve">1</w:t>
            </w:r>
          </w:p>
        </w:tc>
        <w:tc>
          <w:tcPr/>
          <w:p>
            <w:pPr>
              <w:pStyle w:val="Compact"/>
              <w:jc w:val="left"/>
            </w:pPr>
            <w:r>
              <w:t xml:space="preserve">410,000</w:t>
            </w:r>
          </w:p>
        </w:tc>
      </w:tr>
      <w:tr>
        <w:tc>
          <w:tcPr/>
          <w:p>
            <w:pPr>
              <w:pStyle w:val="Compact"/>
              <w:jc w:val="left"/>
            </w:pPr>
            <w:r>
              <w:t xml:space="preserve">05</w:t>
            </w:r>
          </w:p>
        </w:tc>
        <w:tc>
          <w:tcPr/>
          <w:p>
            <w:pPr>
              <w:pStyle w:val="Compact"/>
              <w:jc w:val="left"/>
            </w:pPr>
            <w:r>
              <w:t xml:space="preserve">Business Consultant – Executive Leadership Development Program (Japan Osaka HQ)</w:t>
            </w:r>
          </w:p>
        </w:tc>
        <w:tc>
          <w:tcPr/>
          <w:p>
            <w:pPr>
              <w:pStyle w:val="Compact"/>
              <w:jc w:val="left"/>
            </w:pPr>
            <w:r>
              <w:t xml:space="preserve">8 weeks</w:t>
            </w:r>
          </w:p>
        </w:tc>
        <w:tc>
          <w:tcPr/>
          <w:p>
            <w:pPr>
              <w:pStyle w:val="Compact"/>
              <w:jc w:val="left"/>
            </w:pPr>
            <w:r>
              <w:t xml:space="preserve">350,000</w:t>
            </w:r>
          </w:p>
        </w:tc>
        <w:tc>
          <w:tcPr/>
          <w:p>
            <w:pPr>
              <w:pStyle w:val="Compact"/>
              <w:jc w:val="left"/>
            </w:pPr>
            <w:r>
              <w:t xml:space="preserve">1</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Business Consultant – Regulatory Compliance Review (Japan Osaka municipal &amp; national)</w:t>
            </w:r>
          </w:p>
        </w:tc>
        <w:tc>
          <w:tcPr/>
          <w:p>
            <w:pPr>
              <w:pStyle w:val="Compact"/>
              <w:jc w:val="left"/>
            </w:pPr>
            <w:r>
              <w:t xml:space="preserve">2 weeks</w:t>
            </w:r>
          </w:p>
        </w:tc>
        <w:tc>
          <w:tcPr/>
          <w:p>
            <w:pPr>
              <w:pStyle w:val="Compact"/>
              <w:jc w:val="left"/>
            </w:pPr>
            <w:r>
              <w:t xml:space="preserve">290,000</w:t>
            </w:r>
          </w:p>
        </w:tc>
        <w:tc>
          <w:tcPr/>
          <w:p>
            <w:pPr>
              <w:pStyle w:val="Compact"/>
              <w:jc w:val="left"/>
            </w:pPr>
            <w:r>
              <w:t xml:space="preserve">1</w:t>
            </w:r>
          </w:p>
        </w:tc>
        <w:tc>
          <w:tcPr/>
          <w:p>
            <w:pPr>
              <w:pStyle w:val="Compact"/>
              <w:jc w:val="left"/>
            </w:pPr>
            <w:r>
              <w:t xml:space="preserve">290,000</w:t>
            </w:r>
          </w:p>
        </w:tc>
      </w:tr>
      <w:tr>
        <w:tc>
          <w:tcPr>
            <w:gridSpan w:val="5"/>
          </w:tcPr>
          <w:p>
            <w:pPr>
              <w:pStyle w:val="Compact"/>
              <w:jc w:val="right"/>
            </w:pPr>
            <w:r>
              <w:t xml:space="preserve">TOTAL CONTRACT VALUE</w:t>
            </w:r>
          </w:p>
        </w:tc>
        <w:tc>
          <w:tcPr/>
          <w:p>
            <w:pPr>
              <w:pStyle w:val="Compact"/>
              <w:jc w:val="left"/>
            </w:pPr>
            <w:r>
              <w:t xml:space="preserve">2,400,000 JPY</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Business Consultant within ten (10) business days of the date of issue. Failure to respond within this period shall render this Purchase Order null and void.</w:t>
      </w:r>
    </w:p>
    <w:p>
      <w:pPr>
        <w:numPr>
          <w:ilvl w:val="0"/>
          <w:numId w:val="1001"/>
        </w:numPr>
        <w:pStyle w:val="Compact"/>
      </w:pPr>
      <w:r>
        <w:rPr>
          <w:bCs/>
          <w:b/>
        </w:rPr>
        <w:t xml:space="preserve">Performance Location:</w:t>
      </w:r>
      <w:r>
        <w:t xml:space="preserve"> </w:t>
      </w:r>
      <w:r>
        <w:t xml:space="preserve">All on-site services rendered by the Business Consultant shall be conducted at the Buyer's designated premises in Japan Osaka. The Buyer shall provide reasonable workspace, access to relevant personnel, and necessary data repositories to facilitate the Business Consultant's work.</w:t>
      </w:r>
    </w:p>
    <w:p>
      <w:pPr>
        <w:numPr>
          <w:ilvl w:val="0"/>
          <w:numId w:val="1001"/>
        </w:numPr>
        <w:pStyle w:val="Compact"/>
      </w:pPr>
      <w:r>
        <w:rPr>
          <w:bCs/>
          <w:b/>
        </w:rPr>
        <w:t xml:space="preserve">Confidentiality:</w:t>
      </w:r>
      <w:r>
        <w:t xml:space="preserve"> </w:t>
      </w:r>
      <w:r>
        <w:t xml:space="preserve">The Business Consultant agrees to maintain strict confidentiality regarding all proprietary information, trade secrets, and strategic data encountered during the engagement in Japan Osaka. A separate Non-Disclosure Agreement (NDA) is attached as Appendix A to this Purchase Order.</w:t>
      </w:r>
    </w:p>
    <w:p>
      <w:pPr>
        <w:numPr>
          <w:ilvl w:val="0"/>
          <w:numId w:val="1001"/>
        </w:numPr>
        <w:pStyle w:val="Compact"/>
      </w:pPr>
      <w:r>
        <w:rPr>
          <w:bCs/>
          <w:b/>
        </w:rPr>
        <w:t xml:space="preserve">Intellectual Property:</w:t>
      </w:r>
      <w:r>
        <w:t xml:space="preserve"> </w:t>
      </w:r>
      <w:r>
        <w:t xml:space="preserve">All reports, analyses, models, and deliverables produced by the Business Consultant under this Purchase Order shall become the exclusive property of the Buyer upon full payment. The Business Consultant retains no rights to reproduce or distribute such materials without prior written consent.</w:t>
      </w:r>
    </w:p>
    <w:p>
      <w:pPr>
        <w:numPr>
          <w:ilvl w:val="0"/>
          <w:numId w:val="1001"/>
        </w:numPr>
        <w:pStyle w:val="Compact"/>
      </w:pPr>
      <w:r>
        <w:rPr>
          <w:bCs/>
          <w:b/>
        </w:rPr>
        <w:t xml:space="preserve">Payment Schedule:</w:t>
      </w:r>
      <w:r>
        <w:t xml:space="preserve"> </w:t>
      </w:r>
      <w:r>
        <w:t xml:space="preserve">Payment shall be made in three equal installments: 40% upon commencement of the engagement, 40% upon delivery of the interim report, and 20% upon final acceptance of all deliverables. All payments shall be processed via bank transfer to the account specified by the Business Consultant.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early termination, the Buyer shall compensate the Business Consultant for all services rendered up to the termination date, plus a 10% administrative fee.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Any disputes arising from this engagement shall be resolved through arbitration in Japan Osaka under the rules of the Japan Commercial Arbitration Association (JCAA).</w:t>
      </w:r>
    </w:p>
    <w:p>
      <w:pPr>
        <w:numPr>
          <w:ilvl w:val="0"/>
          <w:numId w:val="1001"/>
        </w:numPr>
        <w:pStyle w:val="Compact"/>
      </w:pPr>
      <w:r>
        <w:rPr>
          <w:bCs/>
          <w:b/>
        </w:rPr>
        <w:t xml:space="preserve">Force Majeure:</w:t>
      </w:r>
      <w:r>
        <w:t xml:space="preserve"> </w:t>
      </w:r>
      <w:r>
        <w:t xml:space="preserve">Neither party shall be liable for delays or failures in performance resulting from natural disasters, government actions, or other events beyond reasonable control, particularly those affecting the Japan Osaka region.</w:t>
      </w:r>
    </w:p>
    <w:p>
      <w:pPr>
        <w:numPr>
          <w:ilvl w:val="0"/>
          <w:numId w:val="1001"/>
        </w:numPr>
        <w:pStyle w:val="Compact"/>
      </w:pPr>
      <w:r>
        <w:rPr>
          <w:bCs/>
          <w:b/>
        </w:rPr>
        <w:t xml:space="preserve">Compliance:</w:t>
      </w:r>
      <w:r>
        <w:t xml:space="preserve"> </w:t>
      </w:r>
      <w:r>
        <w:t xml:space="preserve">The Business Consultant warrants full compliance with all applicable Japanese labor laws, tax regulations, and professional licensing requirements applicable to advisory services conducted in Japan Osaka.</w:t>
      </w:r>
    </w:p>
    <w:bookmarkEnd w:id="24"/>
    <w:bookmarkStart w:id="25" w:name="deliverables-and-milestones"/>
    <w:p>
      <w:pPr>
        <w:pStyle w:val="Heading2"/>
      </w:pPr>
      <w:r>
        <w:t xml:space="preserve">5. Deliverables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Due Date</w:t>
            </w:r>
          </w:p>
        </w:tc>
      </w:tr>
      <w:tr>
        <w:tc>
          <w:tcPr/>
          <w:p>
            <w:pPr>
              <w:pStyle w:val="Compact"/>
              <w:jc w:val="left"/>
            </w:pPr>
            <w:r>
              <w:t xml:space="preserve">M1</w:t>
            </w:r>
          </w:p>
        </w:tc>
        <w:tc>
          <w:tcPr/>
          <w:p>
            <w:pPr>
              <w:pStyle w:val="Compact"/>
              <w:jc w:val="left"/>
            </w:pPr>
            <w:r>
              <w:t xml:space="preserve">Initial Business Consultant diagnostic report and engagement plan</w:t>
            </w:r>
          </w:p>
        </w:tc>
        <w:tc>
          <w:tcPr/>
          <w:p>
            <w:pPr>
              <w:pStyle w:val="Compact"/>
              <w:jc w:val="left"/>
            </w:pPr>
            <w:r>
              <w:t xml:space="preserve">July 15, 2025</w:t>
            </w:r>
          </w:p>
        </w:tc>
      </w:tr>
      <w:tr>
        <w:tc>
          <w:tcPr/>
          <w:p>
            <w:pPr>
              <w:pStyle w:val="Compact"/>
              <w:jc w:val="left"/>
            </w:pPr>
            <w:r>
              <w:t xml:space="preserve">M2</w:t>
            </w:r>
          </w:p>
        </w:tc>
        <w:tc>
          <w:tcPr/>
          <w:p>
            <w:pPr>
              <w:pStyle w:val="Compact"/>
              <w:jc w:val="left"/>
            </w:pPr>
            <w:r>
              <w:t xml:space="preserve">Interim strategic recommendations and process optimization roadmap</w:t>
            </w:r>
          </w:p>
        </w:tc>
        <w:tc>
          <w:tcPr/>
          <w:p>
            <w:pPr>
              <w:pStyle w:val="Compact"/>
              <w:jc w:val="left"/>
            </w:pPr>
            <w:r>
              <w:t xml:space="preserve">August 20, 2025</w:t>
            </w:r>
          </w:p>
        </w:tc>
      </w:tr>
      <w:tr>
        <w:tc>
          <w:tcPr/>
          <w:p>
            <w:pPr>
              <w:pStyle w:val="Compact"/>
              <w:jc w:val="left"/>
            </w:pPr>
            <w:r>
              <w:t xml:space="preserve">M3</w:t>
            </w:r>
          </w:p>
        </w:tc>
        <w:tc>
          <w:tcPr/>
          <w:p>
            <w:pPr>
              <w:pStyle w:val="Compact"/>
              <w:jc w:val="left"/>
            </w:pPr>
            <w:r>
              <w:t xml:space="preserve">Final comprehensive Business Consultant report with implementation timeline</w:t>
            </w:r>
          </w:p>
        </w:tc>
        <w:tc>
          <w:tcPr/>
          <w:p>
            <w:pPr>
              <w:pStyle w:val="Compact"/>
              <w:jc w:val="left"/>
            </w:pPr>
            <w:r>
              <w:t xml:space="preserve">October 10, 2025</w:t>
            </w:r>
          </w:p>
        </w:tc>
      </w:tr>
      <w:tr>
        <w:tc>
          <w:tcPr/>
          <w:p>
            <w:pPr>
              <w:pStyle w:val="Compact"/>
              <w:jc w:val="left"/>
            </w:pPr>
            <w:r>
              <w:t xml:space="preserve">M4</w:t>
            </w:r>
          </w:p>
        </w:tc>
        <w:tc>
          <w:tcPr/>
          <w:p>
            <w:pPr>
              <w:pStyle w:val="Compact"/>
              <w:jc w:val="left"/>
            </w:pPr>
            <w:r>
              <w:t xml:space="preserve">Executive presentation and Q&amp;A session at Japan Osaka headquarters</w:t>
            </w:r>
          </w:p>
        </w:tc>
        <w:tc>
          <w:tcPr/>
          <w:p>
            <w:pPr>
              <w:pStyle w:val="Compact"/>
              <w:jc w:val="left"/>
            </w:pPr>
            <w:r>
              <w:t xml:space="preserve">October 15, 2025</w:t>
            </w:r>
          </w:p>
        </w:tc>
      </w:tr>
    </w:tbl>
    <w:bookmarkEnd w:id="25"/>
    <w:bookmarkStart w:id="26" w:name="authorization-and-signatures"/>
    <w:p>
      <w:pPr>
        <w:pStyle w:val="Heading2"/>
      </w:pPr>
      <w:r>
        <w:t xml:space="preserve">6. Authorization and Signatures</w:t>
      </w:r>
    </w:p>
    <w:p>
      <w:pPr>
        <w:pStyle w:val="FirstParagraph"/>
      </w:pPr>
      <w:r>
        <w:t xml:space="preserve">By signing below, the authorized representatives of both parties confirm that this Purchase Order accurately reflects the agreed-upon terms for the engagement of the Business Consultant in Japan Osaka. This document constitutes a legally binding agreement upon execution by both parties.</w:t>
      </w:r>
    </w:p>
    <w:bookmarkEnd w:id="26"/>
    <w:p>
      <w:pPr>
        <w:pStyle w:val="BodyText"/>
      </w:pPr>
      <w:r>
        <w:rPr>
          <w:bCs/>
          <w:b/>
        </w:rPr>
        <w:t xml:space="preserve">For the Buyer:</w:t>
      </w:r>
      <w:r>
        <w:br/>
      </w:r>
      <w:r>
        <w:t xml:space="preserve">Osaka Metropolitan Development Corporation</w:t>
      </w:r>
    </w:p>
    <w:p>
      <w:pPr>
        <w:pStyle w:val="BodyText"/>
      </w:pPr>
      <w:r>
        <w:t xml:space="preserve">Name: Tanaka Hiroshi</w:t>
      </w:r>
      <w:r>
        <w:br/>
      </w:r>
      <w:r>
        <w:t xml:space="preserve">Title: Director of Procurement</w:t>
      </w:r>
      <w:r>
        <w:br/>
      </w:r>
      <w:r>
        <w:t xml:space="preserve">Signature: _________________________</w:t>
      </w:r>
      <w:r>
        <w:br/>
      </w:r>
      <w:r>
        <w:t xml:space="preserve">Date: _________________________</w:t>
      </w:r>
    </w:p>
    <w:p>
      <w:pPr>
        <w:pStyle w:val="BodyText"/>
      </w:pPr>
      <w:r>
        <w:rPr>
          <w:bCs/>
          <w:b/>
        </w:rPr>
        <w:t xml:space="preserve">For the Seller (Business Consultant):</w:t>
      </w:r>
      <w:r>
        <w:br/>
      </w:r>
      <w:r>
        <w:t xml:space="preserve">Meridian Strategic Advisory Group K.K.</w:t>
      </w:r>
    </w:p>
    <w:p>
      <w:pPr>
        <w:pStyle w:val="BodyText"/>
      </w:pPr>
      <w:r>
        <w:t xml:space="preserve">Name: Yamamoto Keiko</w:t>
      </w:r>
      <w:r>
        <w:br/>
      </w:r>
      <w:r>
        <w:t xml:space="preserve">Title: Senior Partner &amp; Lead Business Consultant</w:t>
      </w:r>
      <w:r>
        <w:br/>
      </w:r>
      <w:r>
        <w:t xml:space="preserve">Signature: _________________________</w:t>
      </w:r>
      <w:r>
        <w:br/>
      </w:r>
      <w:r>
        <w:t xml:space="preserve">Date: _________________________</w:t>
      </w:r>
    </w:p>
    <w:p>
      <w:pPr>
        <w:pStyle w:val="BodyText"/>
      </w:pPr>
      <w:r>
        <w:t xml:space="preserve">This Purchase Order (PO-2025-OSK-0472) was generated by the Procurement Management System of Osaka Metropolitan Development Corporation. For inquiries regarding this Business Consultant engagement in Japan Osaka, please contact the Strategic Planning &amp; Advisory Department at procurement@omdc-osaka.jp. This document is valid only when bearing the official corporate seal of both parties.</w:t>
      </w:r>
    </w:p>
    <w:p>
      <w:pPr>
        <w:pStyle w:val="BodyText"/>
      </w:pPr>
      <w:r>
        <w:t xml:space="preserve">© 2025 Osaka Metropolitan Development Corporation. All rights reserved. Document Reference: PO-2025-OSK-0472 | Japan Osaka | Business Consultant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 Japan Osaka</dc:title>
  <dc:creator/>
  <dc:language>en</dc:language>
  <cp:keywords/>
  <dcterms:created xsi:type="dcterms:W3CDTF">2026-10-10T07:35:56Z</dcterms:created>
  <dcterms:modified xsi:type="dcterms:W3CDTF">2026-10-10T07:35:56Z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