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Business Consultant Engagement — Kuwait, Kuwait City</w:t>
      </w:r>
    </w:p>
    <w:bookmarkEnd w:id="20"/>
    <w:p>
      <w:pPr>
        <w:pStyle w:val="BodyText"/>
      </w:pPr>
      <w:r>
        <w:rPr>
          <w:bCs/>
          <w:b/>
        </w:rPr>
        <w:t xml:space="preserve">Purchase Order No.:</w:t>
      </w:r>
      <w:r>
        <w:t xml:space="preserve"> </w:t>
      </w:r>
      <w:r>
        <w:t xml:space="preserve">PO-KWT-2025-04872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Kuwaiti Dinar (KWD)</w:t>
      </w:r>
    </w:p>
    <w:p>
      <w:pPr>
        <w:pStyle w:val="BodyText"/>
      </w:pPr>
      <w:r>
        <w:rPr>
          <w:bCs/>
          <w:b/>
        </w:rPr>
        <w:t xml:space="preserve">Delivery Location:</w:t>
      </w:r>
      <w:r>
        <w:t xml:space="preserve"> </w:t>
      </w:r>
      <w:r>
        <w:t xml:space="preserve">Kuwait, Kuwait City</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Al-Nakheel Enterprise Group W.L.L.</w:t>
      </w:r>
    </w:p>
    <w:p>
      <w:pPr>
        <w:pStyle w:val="BodyText"/>
      </w:pPr>
      <w:r>
        <w:rPr>
          <w:bCs/>
          <w:b/>
        </w:rPr>
        <w:t xml:space="preserve">Address:</w:t>
      </w:r>
      <w:r>
        <w:t xml:space="preserve"> </w:t>
      </w:r>
      <w:r>
        <w:t xml:space="preserve">12th Floor, Al-Salem Tower, Al-Salem Street, Kuwait City, Kuwait</w:t>
      </w:r>
    </w:p>
    <w:p>
      <w:pPr>
        <w:pStyle w:val="BodyText"/>
      </w:pPr>
      <w:r>
        <w:rPr>
          <w:bCs/>
          <w:b/>
        </w:rPr>
        <w:t xml:space="preserve">Commercial Registration No.:</w:t>
      </w:r>
      <w:r>
        <w:t xml:space="preserve"> </w:t>
      </w:r>
      <w:r>
        <w:t xml:space="preserve">184729</w:t>
      </w:r>
    </w:p>
    <w:p>
      <w:pPr>
        <w:pStyle w:val="BodyText"/>
      </w:pPr>
      <w:r>
        <w:rPr>
          <w:bCs/>
          <w:b/>
        </w:rPr>
        <w:t xml:space="preserve">Tax ID:</w:t>
      </w:r>
      <w:r>
        <w:t xml:space="preserve"> </w:t>
      </w:r>
      <w:r>
        <w:t xml:space="preserve">KU-TR-2019-44821</w:t>
      </w:r>
    </w:p>
    <w:p>
      <w:pPr>
        <w:pStyle w:val="BodyText"/>
      </w:pPr>
      <w:r>
        <w:rPr>
          <w:bCs/>
          <w:b/>
        </w:rPr>
        <w:t xml:space="preserve">Contact Person:</w:t>
      </w:r>
      <w:r>
        <w:t xml:space="preserve"> </w:t>
      </w:r>
      <w:r>
        <w:t xml:space="preserve">Mr. Faisal Al-Rashidi, Director of Operations</w:t>
      </w:r>
    </w:p>
    <w:p>
      <w:pPr>
        <w:pStyle w:val="BodyText"/>
      </w:pPr>
      <w:r>
        <w:rPr>
          <w:bCs/>
          <w:b/>
        </w:rPr>
        <w:t xml:space="preserve">Email:</w:t>
      </w:r>
      <w:r>
        <w:t xml:space="preserve"> </w:t>
      </w:r>
      <w:r>
        <w:t xml:space="preserve">f.alrashidi@alnakheel-kg.com</w:t>
      </w:r>
    </w:p>
    <w:p>
      <w:pPr>
        <w:pStyle w:val="BodyText"/>
      </w:pPr>
      <w:r>
        <w:rPr>
          <w:bCs/>
          <w:b/>
        </w:rPr>
        <w:t xml:space="preserve">Phone:</w:t>
      </w:r>
      <w:r>
        <w:t xml:space="preserve"> </w:t>
      </w:r>
      <w:r>
        <w:t xml:space="preserve">+965 2244 8810</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Gulf Strategic Advisory Partners LLC</w:t>
      </w:r>
    </w:p>
    <w:p>
      <w:pPr>
        <w:pStyle w:val="BodyText"/>
      </w:pPr>
      <w:r>
        <w:rPr>
          <w:bCs/>
          <w:b/>
        </w:rPr>
        <w:t xml:space="preserve">Address:</w:t>
      </w:r>
      <w:r>
        <w:t xml:space="preserve"> </w:t>
      </w:r>
      <w:r>
        <w:t xml:space="preserve">4th Floor, Diplomatic Area, Block 2, Kuwait City, Kuwait</w:t>
      </w:r>
    </w:p>
    <w:p>
      <w:pPr>
        <w:pStyle w:val="BodyText"/>
      </w:pPr>
      <w:r>
        <w:rPr>
          <w:bCs/>
          <w:b/>
        </w:rPr>
        <w:t xml:space="preserve">Commercial Registration No.:</w:t>
      </w:r>
      <w:r>
        <w:t xml:space="preserve"> </w:t>
      </w:r>
      <w:r>
        <w:t xml:space="preserve">229104</w:t>
      </w:r>
    </w:p>
    <w:p>
      <w:pPr>
        <w:pStyle w:val="BodyText"/>
      </w:pPr>
      <w:r>
        <w:rPr>
          <w:bCs/>
          <w:b/>
        </w:rPr>
        <w:t xml:space="preserve">Tax ID:</w:t>
      </w:r>
      <w:r>
        <w:t xml:space="preserve"> </w:t>
      </w:r>
      <w:r>
        <w:t xml:space="preserve">KU-TR-2021-77356</w:t>
      </w:r>
    </w:p>
    <w:p>
      <w:pPr>
        <w:pStyle w:val="BodyText"/>
      </w:pPr>
      <w:r>
        <w:rPr>
          <w:bCs/>
          <w:b/>
        </w:rPr>
        <w:t xml:space="preserve">Contact Person:</w:t>
      </w:r>
      <w:r>
        <w:t xml:space="preserve"> </w:t>
      </w:r>
      <w:r>
        <w:t xml:space="preserve">Ms. Layla Al-Harbi, Lead Business Consultant</w:t>
      </w:r>
    </w:p>
    <w:p>
      <w:pPr>
        <w:pStyle w:val="BodyText"/>
      </w:pPr>
      <w:r>
        <w:rPr>
          <w:bCs/>
          <w:b/>
        </w:rPr>
        <w:t xml:space="preserve">Email:</w:t>
      </w:r>
      <w:r>
        <w:t xml:space="preserve"> </w:t>
      </w:r>
      <w:r>
        <w:t xml:space="preserve">l.alharbi@gulfstrategic.com</w:t>
      </w:r>
    </w:p>
    <w:p>
      <w:pPr>
        <w:pStyle w:val="BodyText"/>
      </w:pPr>
      <w:r>
        <w:rPr>
          <w:bCs/>
          <w:b/>
        </w:rPr>
        <w:t xml:space="preserve">Phone:</w:t>
      </w:r>
      <w:r>
        <w:t xml:space="preserve"> </w:t>
      </w:r>
      <w:r>
        <w:t xml:space="preserve">+965 9788 2234</w:t>
      </w:r>
    </w:p>
    <w:bookmarkEnd w:id="22"/>
    <w:p>
      <w:pPr>
        <w:pStyle w:val="BodyText"/>
      </w:pPr>
      <w:r>
        <w:t xml:space="preserve">Scope of Services — Business Consultant Engagement</w:t>
      </w:r>
    </w:p>
    <w:p>
      <w:pPr>
        <w:pStyle w:val="BodyText"/>
      </w:pPr>
      <w:r>
        <w:t xml:space="preserve">This</w:t>
      </w:r>
      <w:r>
        <w:t xml:space="preserve"> </w:t>
      </w:r>
      <w:r>
        <w:t xml:space="preserve">Purchase Order</w:t>
      </w:r>
      <w:r>
        <w:t xml:space="preserve"> </w:t>
      </w:r>
      <w:r>
        <w:t xml:space="preserve">is issued by Al-Nakheel Enterprise Group W.L.L. to formally engage Gulf Strategic Advisory Partners LLC to provide professional</w:t>
      </w:r>
      <w:r>
        <w:t xml:space="preserve"> </w:t>
      </w:r>
      <w:r>
        <w:t xml:space="preserve">Business Consultant</w:t>
      </w:r>
      <w:r>
        <w:t xml:space="preserve"> </w:t>
      </w:r>
      <w:r>
        <w:t xml:space="preserve">services. The</w:t>
      </w:r>
      <w:r>
        <w:t xml:space="preserve"> </w:t>
      </w:r>
      <w:r>
        <w:t xml:space="preserve">Business Consultant</w:t>
      </w:r>
      <w:r>
        <w:t xml:space="preserve"> </w:t>
      </w:r>
      <w:r>
        <w:t xml:space="preserve">shall be based in and operate primarily from</w:t>
      </w:r>
      <w:r>
        <w:t xml:space="preserve"> </w:t>
      </w:r>
      <w:r>
        <w:t xml:space="preserve">Kuwait, Kuwait City</w:t>
      </w:r>
      <w:r>
        <w:t xml:space="preserve">, and shall deliver all deliverables in accordance with the scope, timelines, and quality standards outlined below. The engagement is governed by the laws of the State of Kuwait and all work shall be conducted in compliance with local regulatory requirements applicable to</w:t>
      </w:r>
      <w:r>
        <w:t xml:space="preserve"> </w:t>
      </w:r>
      <w:r>
        <w:t xml:space="preserve">Kuwait, Kuwait City</w:t>
      </w:r>
      <w:r>
        <w:t xml:space="preserve">.</w:t>
      </w:r>
    </w:p>
    <w:p>
      <w:pPr>
        <w:pStyle w:val="BodyText"/>
      </w:pPr>
      <w:r>
        <w:t xml:space="preserve">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Business Consultant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Unit Rate (KWD)</w:t>
            </w:r>
          </w:p>
        </w:tc>
        <w:tc>
          <w:tcPr/>
          <w:p>
            <w:pPr>
              <w:pStyle w:val="Compact"/>
              <w:jc w:val="left"/>
            </w:pPr>
            <w:r>
              <w:t xml:space="preserve">Total (KWD)</w:t>
            </w:r>
          </w:p>
        </w:tc>
      </w:tr>
      <w:tr>
        <w:tc>
          <w:tcPr/>
          <w:p>
            <w:pPr>
              <w:pStyle w:val="Compact"/>
              <w:jc w:val="left"/>
            </w:pPr>
            <w:r>
              <w:t xml:space="preserve">1</w:t>
            </w:r>
          </w:p>
        </w:tc>
        <w:tc>
          <w:tcPr/>
          <w:p>
            <w:pPr>
              <w:pStyle w:val="Compact"/>
              <w:jc w:val="left"/>
            </w:pPr>
            <w:r>
              <w:t xml:space="preserve">Strategic Business Planning &amp; Market Analysis — The Business Consultant shall conduct a comprehensive market assessment of the Kuwaiti commercial landscape in Kuwait City, including competitor benchmarking, SWOT analysis, and a 3-year strategic growth roadmap.</w:t>
            </w:r>
          </w:p>
        </w:tc>
        <w:tc>
          <w:tcPr/>
          <w:p>
            <w:pPr>
              <w:pStyle w:val="Compact"/>
              <w:jc w:val="left"/>
            </w:pPr>
            <w:r>
              <w:t xml:space="preserve">6 weeks</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Operational Process Optimization — The Business Consultant shall audit existing operational workflows at the buyer's Kuwait City headquarters, identify bottlenecks, and implement lean management frameworks to reduce overhead costs by a minimum of 15%.</w:t>
            </w:r>
          </w:p>
        </w:tc>
        <w:tc>
          <w:tcPr/>
          <w:p>
            <w:pPr>
              <w:pStyle w:val="Compact"/>
              <w:jc w:val="left"/>
            </w:pPr>
            <w:r>
              <w:t xml:space="preserve">8 weeks</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3</w:t>
            </w:r>
          </w:p>
        </w:tc>
        <w:tc>
          <w:tcPr/>
          <w:p>
            <w:pPr>
              <w:pStyle w:val="Compact"/>
              <w:jc w:val="left"/>
            </w:pPr>
            <w:r>
              <w:t xml:space="preserve">Financial Modeling &amp; Investment Advisory — The Business Consultant shall develop detailed financial projections, capital allocation models, and investment feasibility studies tailored to the Kuwaiti economic environment in Kuwait City.</w:t>
            </w:r>
          </w:p>
        </w:tc>
        <w:tc>
          <w:tcPr/>
          <w:p>
            <w:pPr>
              <w:pStyle w:val="Compact"/>
              <w:jc w:val="left"/>
            </w:pPr>
            <w:r>
              <w:t xml:space="preserve">5 weeks</w:t>
            </w:r>
          </w:p>
        </w:tc>
        <w:tc>
          <w:tcPr/>
          <w:p>
            <w:pPr>
              <w:pStyle w:val="Compact"/>
              <w:jc w:val="left"/>
            </w:pPr>
            <w:r>
              <w:t xml:space="preserve">1</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4</w:t>
            </w:r>
          </w:p>
        </w:tc>
        <w:tc>
          <w:tcPr/>
          <w:p>
            <w:pPr>
              <w:pStyle w:val="Compact"/>
              <w:jc w:val="left"/>
            </w:pPr>
            <w:r>
              <w:t xml:space="preserve">Change Management &amp; Leadership Training — The Business Consultant shall design and deliver a 12-session leadership development program for senior management staff located in Kuwait City, focusing on organizational transformation and adaptive leadership.</w:t>
            </w:r>
          </w:p>
        </w:tc>
        <w:tc>
          <w:tcPr/>
          <w:p>
            <w:pPr>
              <w:pStyle w:val="Compact"/>
              <w:jc w:val="left"/>
            </w:pPr>
            <w:r>
              <w:t xml:space="preserve">10 weeks</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5</w:t>
            </w:r>
          </w:p>
        </w:tc>
        <w:tc>
          <w:tcPr/>
          <w:p>
            <w:pPr>
              <w:pStyle w:val="Compact"/>
              <w:jc w:val="left"/>
            </w:pPr>
            <w:r>
              <w:t xml:space="preserve">Regulatory Compliance &amp; Risk Assessment — The Business Consultant shall ensure full alignment of the buyer's business operations with Kuwaiti commercial law, Central Bank of Kuwait regulations, and all applicable municipal bylaws in Kuwait City.</w:t>
            </w:r>
          </w:p>
        </w:tc>
        <w:tc>
          <w:tcPr/>
          <w:p>
            <w:pPr>
              <w:pStyle w:val="Compact"/>
              <w:jc w:val="left"/>
            </w:pPr>
            <w:r>
              <w:t xml:space="preserve">4 weeks</w:t>
            </w:r>
          </w:p>
        </w:tc>
        <w:tc>
          <w:tcPr/>
          <w:p>
            <w:pPr>
              <w:pStyle w:val="Compact"/>
              <w:jc w:val="left"/>
            </w:pPr>
            <w:r>
              <w:t xml:space="preserve">1</w:t>
            </w:r>
          </w:p>
        </w:tc>
        <w:tc>
          <w:tcPr/>
          <w:p>
            <w:pPr>
              <w:pStyle w:val="Compact"/>
              <w:jc w:val="left"/>
            </w:pPr>
            <w:r>
              <w:t xml:space="preserve">2,900.00</w:t>
            </w:r>
          </w:p>
        </w:tc>
        <w:tc>
          <w:tcPr/>
          <w:p>
            <w:pPr>
              <w:pStyle w:val="Compact"/>
              <w:jc w:val="left"/>
            </w:pPr>
            <w:r>
              <w:t xml:space="preserve">2,900.00</w:t>
            </w:r>
          </w:p>
        </w:tc>
      </w:tr>
      <w:tr>
        <w:tc>
          <w:tcPr/>
          <w:p>
            <w:pPr>
              <w:pStyle w:val="Compact"/>
              <w:jc w:val="left"/>
            </w:pPr>
            <w:r>
              <w:t xml:space="preserve">6</w:t>
            </w:r>
          </w:p>
        </w:tc>
        <w:tc>
          <w:tcPr/>
          <w:p>
            <w:pPr>
              <w:pStyle w:val="Compact"/>
              <w:jc w:val="left"/>
            </w:pPr>
            <w:r>
              <w:t xml:space="preserve">Digital Transformation Roadmap — The Business Consultant shall prepare a phased digital adoption strategy, including technology stack recommendations, vendor selection criteria, and implementation timelines specific to the Kuwait City business ecosystem.</w:t>
            </w:r>
          </w:p>
        </w:tc>
        <w:tc>
          <w:tcPr/>
          <w:p>
            <w:pPr>
              <w:pStyle w:val="Compact"/>
              <w:jc w:val="left"/>
            </w:pPr>
            <w:r>
              <w:t xml:space="preserve">6 weeks</w:t>
            </w:r>
          </w:p>
        </w:tc>
        <w:tc>
          <w:tcPr/>
          <w:p>
            <w:pPr>
              <w:pStyle w:val="Compact"/>
              <w:jc w:val="left"/>
            </w:pPr>
            <w:r>
              <w:t xml:space="preserve">1</w:t>
            </w:r>
          </w:p>
        </w:tc>
        <w:tc>
          <w:tcPr/>
          <w:p>
            <w:pPr>
              <w:pStyle w:val="Compact"/>
              <w:jc w:val="left"/>
            </w:pPr>
            <w:r>
              <w:t xml:space="preserve">5,100.00</w:t>
            </w:r>
          </w:p>
        </w:tc>
        <w:tc>
          <w:tcPr/>
          <w:p>
            <w:pPr>
              <w:pStyle w:val="Compact"/>
              <w:jc w:val="left"/>
            </w:pPr>
            <w:r>
              <w:t xml:space="preserve">5,100.00</w:t>
            </w:r>
          </w:p>
        </w:tc>
      </w:tr>
      <w:tr>
        <w:tc>
          <w:tcPr>
            <w:gridSpan w:val="5"/>
          </w:tcPr>
          <w:p>
            <w:pPr>
              <w:pStyle w:val="Compact"/>
              <w:jc w:val="right"/>
            </w:pPr>
            <w:r>
              <w:t xml:space="preserve">Grand Total (KWD)</w:t>
            </w:r>
          </w:p>
        </w:tc>
        <w:tc>
          <w:tcPr/>
          <w:p>
            <w:pPr>
              <w:pStyle w:val="Compact"/>
              <w:jc w:val="left"/>
            </w:pPr>
            <w:r>
              <w:t xml:space="preserve">27,900.00</w:t>
            </w:r>
          </w:p>
        </w:tc>
      </w:tr>
    </w:tbl>
    <w:p>
      <w:pPr>
        <w:pStyle w:val="BodyText"/>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the parties upon signature. All services described herein shall be rendered by the appointed</w:t>
      </w:r>
      <w:r>
        <w:t xml:space="preserve"> </w:t>
      </w:r>
      <w:r>
        <w:t xml:space="preserve">Business Consultant</w:t>
      </w:r>
      <w:r>
        <w:t xml:space="preserve"> </w:t>
      </w:r>
      <w:r>
        <w:t xml:space="preserve">or their directly supervised team members.</w:t>
      </w:r>
    </w:p>
    <w:p>
      <w:pPr>
        <w:numPr>
          <w:ilvl w:val="0"/>
          <w:numId w:val="1001"/>
        </w:numPr>
        <w:pStyle w:val="Compact"/>
      </w:pPr>
      <w:r>
        <w:t xml:space="preserve">The</w:t>
      </w:r>
      <w:r>
        <w:t xml:space="preserve"> </w:t>
      </w:r>
      <w:r>
        <w:t xml:space="preserve">Business Consultant</w:t>
      </w:r>
      <w:r>
        <w:t xml:space="preserve"> </w:t>
      </w:r>
      <w:r>
        <w:t xml:space="preserve">shall maintain a dedicated office presence at the buyer's premises in</w:t>
      </w:r>
      <w:r>
        <w:t xml:space="preserve"> </w:t>
      </w:r>
      <w:r>
        <w:t xml:space="preserve">Kuwait, Kuwait City</w:t>
      </w:r>
      <w:r>
        <w:t xml:space="preserve"> </w:t>
      </w:r>
      <w:r>
        <w:t xml:space="preserve">during all active service periods, with a minimum of four (4) on-site working days per week.</w:t>
      </w:r>
    </w:p>
    <w:p>
      <w:pPr>
        <w:numPr>
          <w:ilvl w:val="0"/>
          <w:numId w:val="1001"/>
        </w:numPr>
        <w:pStyle w:val="Compact"/>
      </w:pPr>
      <w:r>
        <w:t xml:space="preserve">Payment shall be made in Kuwaiti Dinars (KWD) via bank transfer to the account designated by Gulf Strategic Advisory Partners LLC. Invoices shall be submitted monthly and are payable within thirty (30) calendar days of receipt.</w:t>
      </w:r>
    </w:p>
    <w:p>
      <w:pPr>
        <w:numPr>
          <w:ilvl w:val="0"/>
          <w:numId w:val="1001"/>
        </w:numPr>
        <w:pStyle w:val="Compact"/>
      </w:pPr>
      <w:r>
        <w:t xml:space="preserve">All intellectual property, reports, models, and deliverables produced by the</w:t>
      </w:r>
      <w:r>
        <w:t xml:space="preserve"> </w:t>
      </w:r>
      <w:r>
        <w:t xml:space="preserve">Business Consultant</w:t>
      </w:r>
      <w:r>
        <w:t xml:space="preserve"> </w:t>
      </w:r>
      <w:r>
        <w:t xml:space="preserve">under this</w:t>
      </w:r>
      <w:r>
        <w:t xml:space="preserve"> </w:t>
      </w:r>
      <w:r>
        <w:t xml:space="preserve">Purchase Order</w:t>
      </w:r>
      <w:r>
        <w:t xml:space="preserve"> </w:t>
      </w:r>
      <w:r>
        <w:t xml:space="preserve">shall become the exclusive property of Al-Nakheel Enterprise Group W.L.L. upon full payment.</w:t>
      </w:r>
    </w:p>
    <w:p>
      <w:pPr>
        <w:numPr>
          <w:ilvl w:val="0"/>
          <w:numId w:val="1001"/>
        </w:numPr>
        <w:pStyle w:val="Compact"/>
      </w:pPr>
      <w:r>
        <w:t xml:space="preserve">The</w:t>
      </w:r>
      <w:r>
        <w:t xml:space="preserve"> </w:t>
      </w:r>
      <w:r>
        <w:t xml:space="preserve">Business Consultant</w:t>
      </w:r>
      <w:r>
        <w:t xml:space="preserve"> </w:t>
      </w:r>
      <w:r>
        <w:t xml:space="preserve">shall adhere to all data protection and confidentiality obligations under Kuwaiti law. No client data, financial records, or proprietary information shall be disclosed to third parties or removed from</w:t>
      </w:r>
      <w:r>
        <w:t xml:space="preserve"> </w:t>
      </w:r>
      <w:r>
        <w:t xml:space="preserve">Kuwait, Kuwait City</w:t>
      </w:r>
      <w:r>
        <w:t xml:space="preserve"> </w:t>
      </w:r>
      <w:r>
        <w:t xml:space="preserve">without written authorization.</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early termination, the buyer shall compensate the</w:t>
      </w:r>
      <w:r>
        <w:t xml:space="preserve"> </w:t>
      </w:r>
      <w:r>
        <w:t xml:space="preserve">Business Consultant</w:t>
      </w:r>
      <w:r>
        <w:t xml:space="preserve"> </w:t>
      </w:r>
      <w:r>
        <w:t xml:space="preserve">for all services rendered up to the termination date.</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amicable negotiation. Failing resolution within thirty (30) days, the matter shall be referred to the competent courts in</w:t>
      </w:r>
      <w:r>
        <w:t xml:space="preserve"> </w:t>
      </w:r>
      <w:r>
        <w:t xml:space="preserve">Kuwait, Kuwait City</w:t>
      </w:r>
      <w:r>
        <w:t xml:space="preserve">.</w:t>
      </w:r>
    </w:p>
    <w:p>
      <w:pPr>
        <w:numPr>
          <w:ilvl w:val="0"/>
          <w:numId w:val="1001"/>
        </w:numPr>
        <w:pStyle w:val="Compact"/>
      </w:pPr>
      <w:r>
        <w:t xml:space="preserve">The</w:t>
      </w:r>
      <w:r>
        <w:t xml:space="preserve"> </w:t>
      </w:r>
      <w:r>
        <w:t xml:space="preserve">Business Consultant</w:t>
      </w:r>
      <w:r>
        <w:t xml:space="preserve"> </w:t>
      </w:r>
      <w:r>
        <w:t xml:space="preserve">shall provide a comprehensive final report and executive presentation within ten (10) business days of the completion of all service line items.</w:t>
      </w:r>
    </w:p>
    <w:p>
      <w:pPr>
        <w:numPr>
          <w:ilvl w:val="0"/>
          <w:numId w:val="1001"/>
        </w:numPr>
        <w:pStyle w:val="Compact"/>
      </w:pPr>
      <w:r>
        <w:t xml:space="preserve">This</w:t>
      </w:r>
      <w:r>
        <w:t xml:space="preserve"> </w:t>
      </w:r>
      <w:r>
        <w:t xml:space="preserve">Purchase Order</w:t>
      </w:r>
      <w:r>
        <w:t xml:space="preserve"> </w:t>
      </w:r>
      <w:r>
        <w:t xml:space="preserve">is subject to the Commercial Law of the State of Kuwait (Law No. 18 of 1960) and all amendments thereto.</w:t>
      </w:r>
    </w:p>
    <w:p>
      <w:pPr>
        <w:pStyle w:val="FirstParagraph"/>
      </w:pPr>
      <w:r>
        <w:t xml:space="preserve">Acceptance &amp; Authorization</w:t>
      </w:r>
    </w:p>
    <w:p>
      <w:pPr>
        <w:pStyle w:val="BodyText"/>
      </w:pPr>
      <w:r>
        <w:t xml:space="preserve">By signing below, both parties acknowledge and agree to all terms, conditions, and service specifications outlined in this</w:t>
      </w:r>
      <w:r>
        <w:t xml:space="preserve"> </w:t>
      </w:r>
      <w:r>
        <w:t xml:space="preserve">Purchase Order</w:t>
      </w:r>
      <w:r>
        <w:t xml:space="preserve"> </w:t>
      </w:r>
      <w:r>
        <w:t xml:space="preserve">for the engagement of the</w:t>
      </w:r>
      <w:r>
        <w:t xml:space="preserve"> </w:t>
      </w:r>
      <w:r>
        <w:t xml:space="preserve">Business Consultant</w:t>
      </w:r>
      <w:r>
        <w:t xml:space="preserve"> </w:t>
      </w:r>
      <w:r>
        <w:t xml:space="preserve">in</w:t>
      </w:r>
      <w:r>
        <w:t xml:space="preserve"> </w:t>
      </w:r>
      <w:r>
        <w:t xml:space="preserve">Kuwait, Kuwait City</w:t>
      </w:r>
      <w:r>
        <w:t xml:space="preserve">.</w:t>
      </w:r>
    </w:p>
    <w:p>
      <w:pPr>
        <w:pStyle w:val="BodyText"/>
      </w:pPr>
      <w:r>
        <w:rPr>
          <w:bCs/>
          <w:b/>
        </w:rPr>
        <w:t xml:space="preserve">For: Al-Nakheel Enterprise Group W.L.L. (Buyer)</w:t>
      </w:r>
    </w:p>
    <w:p>
      <w:pPr>
        <w:pStyle w:val="BodyText"/>
      </w:pPr>
      <w:r>
        <w:t xml:space="preserve">Mr. Faisal Al-Rashidi</w:t>
      </w:r>
    </w:p>
    <w:p>
      <w:pPr>
        <w:pStyle w:val="BodyText"/>
      </w:pPr>
      <w:r>
        <w:t xml:space="preserve">Director of Operations</w:t>
      </w:r>
    </w:p>
    <w:p>
      <w:pPr>
        <w:pStyle w:val="BodyText"/>
      </w:pPr>
      <w:r>
        <w:t xml:space="preserve">Date: _______________</w:t>
      </w:r>
    </w:p>
    <w:p>
      <w:pPr>
        <w:pStyle w:val="BodyText"/>
      </w:pPr>
      <w:r>
        <w:rPr>
          <w:bCs/>
          <w:b/>
        </w:rPr>
        <w:t xml:space="preserve">For: Gulf Strategic Advisory Partners LLC (Seller)</w:t>
      </w:r>
    </w:p>
    <w:p>
      <w:pPr>
        <w:pStyle w:val="BodyText"/>
      </w:pPr>
      <w:r>
        <w:t xml:space="preserve">Ms. Layla Al-Harbi</w:t>
      </w:r>
    </w:p>
    <w:p>
      <w:pPr>
        <w:pStyle w:val="BodyText"/>
      </w:pPr>
      <w:r>
        <w:t xml:space="preserve">Lead Business Consultant</w:t>
      </w:r>
    </w:p>
    <w:p>
      <w:pPr>
        <w:pStyle w:val="BodyText"/>
      </w:pPr>
      <w:r>
        <w:t xml:space="preserve">Date: _______________</w:t>
      </w:r>
    </w:p>
    <w:p>
      <w:pPr>
        <w:pStyle w:val="BodyText"/>
      </w:pPr>
      <w:r>
        <w:t xml:space="preserve">This Purchase Order (PO-KWT-2025-04872) was prepared and issued in Kuwait, Kuwait City. All communications regarding this Business Consultant engagement shall be directed to the addresses listed above. This document is valid for a period of thirty (30) days from the date of issue. © 2025 Al-Nakheel Enterprise Group W.L.L. —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Kuwait Kuwait City</dc:title>
  <dc:creator/>
  <dc:language>en</dc:language>
  <cp:keywords/>
  <dcterms:created xsi:type="dcterms:W3CDTF">2026-10-10T08:09:49Z</dcterms:created>
  <dcterms:modified xsi:type="dcterms:W3CDTF">2026-10-10T08:09:49Z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