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meridian-strategic-solutions-sdn.-bhd."/>
    <w:p>
      <w:pPr>
        <w:pStyle w:val="Heading1"/>
      </w:pPr>
      <w:r>
        <w:t xml:space="preserve">Meridian Strategic Solutions Sdn. Bhd.</w:t>
      </w:r>
    </w:p>
    <w:p>
      <w:pPr>
        <w:pStyle w:val="FirstParagraph"/>
      </w:pPr>
      <w:r>
        <w:t xml:space="preserve">Level 24, Menara Maxis, Jalan Tun Razak, 50400 Malaysia Kuala Lumpur, Federal Territory of Kuala Lumpur</w:t>
      </w:r>
    </w:p>
    <w:p>
      <w:pPr>
        <w:pStyle w:val="BodyText"/>
      </w:pPr>
      <w:r>
        <w:t xml:space="preserve">Company Registration No.: 201901045678 (887654-A) | SST Registration No.: 001234567890</w:t>
      </w:r>
    </w:p>
    <w:p>
      <w:pPr>
        <w:pStyle w:val="BodyText"/>
      </w:pPr>
      <w:r>
        <w:t xml:space="preserve">Tel: +603-2180-4567 | Email: procurement@meridianstrategic.com.my</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PO-MSL-2025-00472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Service Date</w:t>
            </w:r>
          </w:p>
        </w:tc>
        <w:tc>
          <w:tcPr/>
          <w:p>
            <w:pPr>
              <w:pStyle w:val="Compact"/>
              <w:jc w:val="left"/>
            </w:pPr>
            <w:r>
              <w:t xml:space="preserve">01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Malaysian Ringgit (MYR)</w:t>
            </w:r>
          </w:p>
        </w:tc>
        <w:tc>
          <w:tcPr/>
          <w:p>
            <w:pPr>
              <w:pStyle w:val="Compact"/>
              <w:jc w:val="left"/>
            </w:pPr>
            <w:r>
              <w:t xml:space="preserve">Valid Until</w:t>
            </w:r>
          </w:p>
        </w:tc>
        <w:tc>
          <w:tcPr/>
          <w:p>
            <w:pPr>
              <w:pStyle w:val="Compact"/>
              <w:jc w:val="left"/>
            </w:pPr>
            <w:r>
              <w:t xml:space="preserve">31 July 2025</w:t>
            </w:r>
          </w:p>
        </w:tc>
      </w:tr>
    </w:tbl>
    <w:bookmarkStart w:id="21" w:name="purchaser-buyer"/>
    <w:p>
      <w:pPr>
        <w:pStyle w:val="Heading3"/>
      </w:pPr>
      <w:r>
        <w:t xml:space="preserve">Purchaser (Buyer)</w:t>
      </w:r>
    </w:p>
    <w:p>
      <w:pPr>
        <w:pStyle w:val="FirstParagraph"/>
      </w:pPr>
      <w:r>
        <w:rPr>
          <w:bCs/>
          <w:b/>
        </w:rPr>
        <w:t xml:space="preserve">Meridian Strategic Solutions Sdn. Bhd.</w:t>
      </w:r>
    </w:p>
    <w:p>
      <w:pPr>
        <w:pStyle w:val="BodyText"/>
      </w:pPr>
      <w:r>
        <w:t xml:space="preserve">Level 24, Menara Maxis, Jalan Tun Razak</w:t>
      </w:r>
    </w:p>
    <w:p>
      <w:pPr>
        <w:pStyle w:val="BodyText"/>
      </w:pPr>
      <w:r>
        <w:t xml:space="preserve">50400 Malaysia Kuala Lumpur</w:t>
      </w:r>
    </w:p>
    <w:p>
      <w:pPr>
        <w:pStyle w:val="BodyText"/>
      </w:pPr>
      <w:r>
        <w:t xml:space="preserve">Federal Territory of Kuala Lumpur, Malaysia</w:t>
      </w:r>
    </w:p>
    <w:p>
      <w:pPr>
        <w:pStyle w:val="BodyText"/>
      </w:pPr>
      <w:r>
        <w:t xml:space="preserve">Attn: Mr. Tan Wei Keat, Head of Procurement</w:t>
      </w:r>
    </w:p>
    <w:p>
      <w:pPr>
        <w:pStyle w:val="BodyText"/>
      </w:pPr>
      <w:r>
        <w:t xml:space="preserve">Email: t.wkeat@meridianstrategic.com.my</w:t>
      </w:r>
    </w:p>
    <w:bookmarkEnd w:id="21"/>
    <w:bookmarkStart w:id="22" w:name="supplier-service-provider"/>
    <w:p>
      <w:pPr>
        <w:pStyle w:val="Heading3"/>
      </w:pPr>
      <w:r>
        <w:t xml:space="preserve">Supplier (Service Provider)</w:t>
      </w:r>
    </w:p>
    <w:p>
      <w:pPr>
        <w:pStyle w:val="FirstParagraph"/>
      </w:pPr>
      <w:r>
        <w:rPr>
          <w:bCs/>
          <w:b/>
        </w:rPr>
        <w:t xml:space="preserve">Apex Business Advisory Group Sdn. Bhd.</w:t>
      </w:r>
    </w:p>
    <w:p>
      <w:pPr>
        <w:pStyle w:val="BodyText"/>
      </w:pPr>
      <w:r>
        <w:t xml:space="preserve">Suite 1208, Level 12, The Exchange TRX</w:t>
      </w:r>
    </w:p>
    <w:p>
      <w:pPr>
        <w:pStyle w:val="BodyText"/>
      </w:pPr>
      <w:r>
        <w:t xml:space="preserve">No. 18, Jalan P. Ramlee, 50250 Malaysia Kuala Lumpur</w:t>
      </w:r>
    </w:p>
    <w:p>
      <w:pPr>
        <w:pStyle w:val="BodyText"/>
      </w:pPr>
      <w:r>
        <w:t xml:space="preserve">Federal Territory of Kuala Lumpur, Malaysia</w:t>
      </w:r>
    </w:p>
    <w:p>
      <w:pPr>
        <w:pStyle w:val="BodyText"/>
      </w:pPr>
      <w:r>
        <w:t xml:space="preserve">Attn: Dr. Sarah Lim, Lead Business Consultant</w:t>
      </w:r>
    </w:p>
    <w:p>
      <w:pPr>
        <w:pStyle w:val="BodyText"/>
      </w:pPr>
      <w:r>
        <w:t xml:space="preserve">Email: s.lim@apexadvisory.my</w:t>
      </w:r>
    </w:p>
    <w:bookmarkEnd w:id="22"/>
    <w:p>
      <w:pPr>
        <w:pStyle w:val="BodyText"/>
      </w:pPr>
      <w:r>
        <w:t xml:space="preserve">Description of Services – Business Consultant Engagement</w:t>
      </w:r>
    </w:p>
    <w:p>
      <w:pPr>
        <w:pStyle w:val="BodyText"/>
      </w:pPr>
      <w:r>
        <w:t xml:space="preserve">This</w:t>
      </w:r>
      <w:r>
        <w:t xml:space="preserve"> </w:t>
      </w:r>
      <w:r>
        <w:t xml:space="preserve">Purchase Order</w:t>
      </w:r>
      <w:r>
        <w:t xml:space="preserve"> </w:t>
      </w:r>
      <w:r>
        <w:t xml:space="preserve">is issued by Meridian Strategic Solutions Sdn. Bhd. to formally engage the services of Apex Business Advisory Group Sdn. Bhd., a registered professional firm operating in</w:t>
      </w:r>
      <w:r>
        <w:t xml:space="preserve"> </w:t>
      </w:r>
      <w:r>
        <w:t xml:space="preserve">Malaysia Kuala Lumpur</w:t>
      </w:r>
      <w:r>
        <w:t xml:space="preserve">, to provide comprehensive</w:t>
      </w:r>
      <w:r>
        <w:t xml:space="preserve"> </w:t>
      </w:r>
      <w:r>
        <w:t xml:space="preserve">Business Consultant</w:t>
      </w:r>
      <w:r>
        <w:t xml:space="preserve"> </w:t>
      </w:r>
      <w:r>
        <w:t xml:space="preserve">services. The engagement of this</w:t>
      </w:r>
      <w:r>
        <w:t xml:space="preserve"> </w:t>
      </w:r>
      <w:r>
        <w:t xml:space="preserve">Business Consultant</w:t>
      </w:r>
      <w:r>
        <w:t xml:space="preserve"> </w:t>
      </w:r>
      <w:r>
        <w:t xml:space="preserve">is required to support the strategic transformation programme of the Purchaser, including organisational restructuring, operational efficiency analysis, market entry strategy for the ASEAN region, and digital transformation roadmap development. All services shall be delivered in accordance with the professional standards expected of a qualified</w:t>
      </w:r>
      <w:r>
        <w:t xml:space="preserve"> </w:t>
      </w:r>
      <w:r>
        <w:t xml:space="preserve">Business Consultant</w:t>
      </w:r>
      <w:r>
        <w:t xml:space="preserve"> </w:t>
      </w:r>
      <w:r>
        <w:t xml:space="preserve">practising in</w:t>
      </w:r>
      <w:r>
        <w:t xml:space="preserve"> </w:t>
      </w:r>
      <w:r>
        <w:t xml:space="preserve">Malaysia Kuala Lumpur</w:t>
      </w:r>
      <w:r>
        <w:t xml:space="preserve"> </w:t>
      </w:r>
      <w:r>
        <w:t xml:space="preserve">and in compliance with the Malaysian Companies Act 2016 and applicable regulatory requirements.</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Business Consultant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Strategic Business Consultant – Organisational Restructuring &amp; Governance Review (on-site in Malaysia Kuala Lumpur)</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RM 850.00</w:t>
            </w:r>
          </w:p>
        </w:tc>
        <w:tc>
          <w:tcPr/>
          <w:p>
            <w:pPr>
              <w:pStyle w:val="Compact"/>
              <w:jc w:val="left"/>
            </w:pPr>
            <w:r>
              <w:t xml:space="preserve">RM 34,000.00</w:t>
            </w:r>
          </w:p>
        </w:tc>
      </w:tr>
      <w:tr>
        <w:tc>
          <w:tcPr/>
          <w:p>
            <w:pPr>
              <w:pStyle w:val="Compact"/>
              <w:jc w:val="left"/>
            </w:pPr>
            <w:r>
              <w:t xml:space="preserve">2</w:t>
            </w:r>
          </w:p>
        </w:tc>
        <w:tc>
          <w:tcPr/>
          <w:p>
            <w:pPr>
              <w:pStyle w:val="Compact"/>
              <w:jc w:val="left"/>
            </w:pPr>
            <w:r>
              <w:t xml:space="preserve">Business Consultant – Operational Efficiency &amp; Process Optimisation Audit</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RM 850.00</w:t>
            </w:r>
          </w:p>
        </w:tc>
        <w:tc>
          <w:tcPr/>
          <w:p>
            <w:pPr>
              <w:pStyle w:val="Compact"/>
              <w:jc w:val="left"/>
            </w:pPr>
            <w:r>
              <w:t xml:space="preserve">RM 25,500.00</w:t>
            </w:r>
          </w:p>
        </w:tc>
      </w:tr>
      <w:tr>
        <w:tc>
          <w:tcPr/>
          <w:p>
            <w:pPr>
              <w:pStyle w:val="Compact"/>
              <w:jc w:val="left"/>
            </w:pPr>
            <w:r>
              <w:t xml:space="preserve">3</w:t>
            </w:r>
          </w:p>
        </w:tc>
        <w:tc>
          <w:tcPr/>
          <w:p>
            <w:pPr>
              <w:pStyle w:val="Compact"/>
              <w:jc w:val="left"/>
            </w:pPr>
            <w:r>
              <w:t xml:space="preserve">Business Consultant – ASEAN Market Entry Strategy &amp; Feasibility Study</w:t>
            </w:r>
          </w:p>
        </w:tc>
        <w:tc>
          <w:tcPr/>
          <w:p>
            <w:pPr>
              <w:pStyle w:val="Compact"/>
              <w:jc w:val="left"/>
            </w:pPr>
            <w:r>
              <w:t xml:space="preserve">25</w:t>
            </w:r>
          </w:p>
        </w:tc>
        <w:tc>
          <w:tcPr/>
          <w:p>
            <w:pPr>
              <w:pStyle w:val="Compact"/>
              <w:jc w:val="left"/>
            </w:pPr>
            <w:r>
              <w:t xml:space="preserve">Hours</w:t>
            </w:r>
          </w:p>
        </w:tc>
        <w:tc>
          <w:tcPr/>
          <w:p>
            <w:pPr>
              <w:pStyle w:val="Compact"/>
              <w:jc w:val="left"/>
            </w:pPr>
            <w:r>
              <w:t xml:space="preserve">RM 950.00</w:t>
            </w:r>
          </w:p>
        </w:tc>
        <w:tc>
          <w:tcPr/>
          <w:p>
            <w:pPr>
              <w:pStyle w:val="Compact"/>
              <w:jc w:val="left"/>
            </w:pPr>
            <w:r>
              <w:t xml:space="preserve">RM 23,750.00</w:t>
            </w:r>
          </w:p>
        </w:tc>
      </w:tr>
      <w:tr>
        <w:tc>
          <w:tcPr/>
          <w:p>
            <w:pPr>
              <w:pStyle w:val="Compact"/>
              <w:jc w:val="left"/>
            </w:pPr>
            <w:r>
              <w:t xml:space="preserve">4</w:t>
            </w:r>
          </w:p>
        </w:tc>
        <w:tc>
          <w:tcPr/>
          <w:p>
            <w:pPr>
              <w:pStyle w:val="Compact"/>
              <w:jc w:val="left"/>
            </w:pPr>
            <w:r>
              <w:t xml:space="preserve">Business Consultant – Digital Transformation Roadmap &amp; Technology Assessment</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RM 950.00</w:t>
            </w:r>
          </w:p>
        </w:tc>
        <w:tc>
          <w:tcPr/>
          <w:p>
            <w:pPr>
              <w:pStyle w:val="Compact"/>
              <w:jc w:val="left"/>
            </w:pPr>
            <w:r>
              <w:t xml:space="preserve">RM 19,000.00</w:t>
            </w:r>
          </w:p>
        </w:tc>
      </w:tr>
      <w:tr>
        <w:tc>
          <w:tcPr/>
          <w:p>
            <w:pPr>
              <w:pStyle w:val="Compact"/>
              <w:jc w:val="left"/>
            </w:pPr>
            <w:r>
              <w:t xml:space="preserve">5</w:t>
            </w:r>
          </w:p>
        </w:tc>
        <w:tc>
          <w:tcPr/>
          <w:p>
            <w:pPr>
              <w:pStyle w:val="Compact"/>
              <w:jc w:val="left"/>
            </w:pPr>
            <w:r>
              <w:t xml:space="preserve">Business Consultant – Executive Board Presentation &amp; Stakeholder Workshops (Malaysia Kuala Lumpur venue)</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RM 4,500.00</w:t>
            </w:r>
          </w:p>
        </w:tc>
        <w:tc>
          <w:tcPr/>
          <w:p>
            <w:pPr>
              <w:pStyle w:val="Compact"/>
              <w:jc w:val="left"/>
            </w:pPr>
            <w:r>
              <w:t xml:space="preserve">RM 13,500.00</w:t>
            </w:r>
          </w:p>
        </w:tc>
      </w:tr>
      <w:tr>
        <w:tc>
          <w:tcPr/>
          <w:p>
            <w:pPr>
              <w:pStyle w:val="Compact"/>
              <w:jc w:val="left"/>
            </w:pPr>
            <w:r>
              <w:t xml:space="preserve">6</w:t>
            </w:r>
          </w:p>
        </w:tc>
        <w:tc>
          <w:tcPr/>
          <w:p>
            <w:pPr>
              <w:pStyle w:val="Compact"/>
              <w:jc w:val="left"/>
            </w:pPr>
            <w:r>
              <w:t xml:space="preserve">Business Consultant – Ongoing Advisory Retainer (Monthly, 6-month period)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RM 12,000.00</w:t>
            </w:r>
          </w:p>
        </w:tc>
        <w:tc>
          <w:tcPr/>
          <w:p>
            <w:pPr>
              <w:pStyle w:val="Compact"/>
              <w:jc w:val="left"/>
            </w:pPr>
            <w:r>
              <w:t xml:space="preserve">RM 72,000.00</w:t>
            </w:r>
          </w:p>
        </w:tc>
      </w:tr>
      <w:tr>
        <w:tc>
          <w:tcPr/>
          <w:p>
            <w:pPr>
              <w:pStyle w:val="Compact"/>
              <w:jc w:val="left"/>
            </w:pPr>
            <w:r>
              <w:t xml:space="preserve">7</w:t>
            </w:r>
          </w:p>
        </w:tc>
        <w:tc>
          <w:tcPr/>
          <w:p>
            <w:pPr>
              <w:pStyle w:val="Compact"/>
              <w:jc w:val="left"/>
            </w:pPr>
            <w:r>
              <w:t xml:space="preserve">Business Consultant – Final Comprehensive Report &amp; Implementation Playbook</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RM 8,500.00</w:t>
            </w:r>
          </w:p>
        </w:tc>
        <w:tc>
          <w:tcPr/>
          <w:p>
            <w:pPr>
              <w:pStyle w:val="Compact"/>
              <w:jc w:val="left"/>
            </w:pPr>
            <w:r>
              <w:t xml:space="preserve">RM 8,500.00</w:t>
            </w:r>
          </w:p>
        </w:tc>
      </w:tr>
      <w:tr>
        <w:tc>
          <w:tcPr>
            <w:gridSpan w:val="5"/>
          </w:tcPr>
          <w:p>
            <w:pPr>
              <w:pStyle w:val="Compact"/>
              <w:jc w:val="right"/>
            </w:pPr>
            <w:r>
              <w:t xml:space="preserve">Subtotal</w:t>
            </w:r>
          </w:p>
        </w:tc>
        <w:tc>
          <w:tcPr/>
          <w:p>
            <w:pPr>
              <w:pStyle w:val="Compact"/>
              <w:jc w:val="left"/>
            </w:pPr>
            <w:r>
              <w:t xml:space="preserve">RM 196,250.00</w:t>
            </w:r>
          </w:p>
        </w:tc>
      </w:tr>
      <w:tr>
        <w:tc>
          <w:tcPr>
            <w:gridSpan w:val="5"/>
          </w:tcPr>
          <w:p>
            <w:pPr>
              <w:pStyle w:val="Compact"/>
              <w:jc w:val="right"/>
            </w:pPr>
            <w:r>
              <w:t xml:space="preserve">Service Tax (SST) @ 6%</w:t>
            </w:r>
          </w:p>
        </w:tc>
        <w:tc>
          <w:tcPr/>
          <w:p>
            <w:pPr>
              <w:pStyle w:val="Compact"/>
              <w:jc w:val="left"/>
            </w:pPr>
            <w:r>
              <w:t xml:space="preserve">RM 11,775.00</w:t>
            </w:r>
          </w:p>
        </w:tc>
      </w:tr>
      <w:tr>
        <w:tc>
          <w:tcPr>
            <w:gridSpan w:val="5"/>
          </w:tcPr>
          <w:p>
            <w:pPr>
              <w:pStyle w:val="Compact"/>
              <w:jc w:val="right"/>
            </w:pPr>
            <w:r>
              <w:t xml:space="preserve">TOTAL AMOUNT DUE</w:t>
            </w:r>
          </w:p>
        </w:tc>
        <w:tc>
          <w:tcPr/>
          <w:p>
            <w:pPr>
              <w:pStyle w:val="Compact"/>
              <w:jc w:val="left"/>
            </w:pPr>
            <w:r>
              <w:t xml:space="preserve">RM 208,025.00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Purchaser and the Supplier upon countersignature. All terms herein govern the provision of</w:t>
      </w:r>
      <w:r>
        <w:t xml:space="preserve"> </w:t>
      </w:r>
      <w:r>
        <w:t xml:space="preserve">Business Consultant</w:t>
      </w:r>
      <w:r>
        <w:t xml:space="preserve"> </w:t>
      </w:r>
      <w:r>
        <w:t xml:space="preserve">services in</w:t>
      </w:r>
      <w:r>
        <w:t xml:space="preserve"> </w:t>
      </w:r>
      <w:r>
        <w:t xml:space="preserve">Malaysia Kuala Lumpur</w:t>
      </w:r>
      <w:r>
        <w:t xml:space="preserve">.</w:t>
      </w:r>
    </w:p>
    <w:p>
      <w:pPr>
        <w:numPr>
          <w:ilvl w:val="0"/>
          <w:numId w:val="1001"/>
        </w:numPr>
        <w:pStyle w:val="Compact"/>
      </w:pPr>
      <w:r>
        <w:t xml:space="preserve">The</w:t>
      </w:r>
      <w:r>
        <w:t xml:space="preserve"> </w:t>
      </w:r>
      <w:r>
        <w:t xml:space="preserve">Business Consultant</w:t>
      </w:r>
      <w:r>
        <w:t xml:space="preserve"> </w:t>
      </w:r>
      <w:r>
        <w:t xml:space="preserve">shall commence services on 01 July 2025 and shall complete all deliverables no later than 31 December 2025, unless otherwise agreed in writing by both parties.</w:t>
      </w:r>
    </w:p>
    <w:p>
      <w:pPr>
        <w:numPr>
          <w:ilvl w:val="0"/>
          <w:numId w:val="1001"/>
        </w:numPr>
        <w:pStyle w:val="Compact"/>
      </w:pPr>
      <w:r>
        <w:t xml:space="preserve">All on-site consultations, workshops, and meetings shall be conducted at the Purchaser's premises located in</w:t>
      </w:r>
      <w:r>
        <w:t xml:space="preserve"> </w:t>
      </w:r>
      <w:r>
        <w:t xml:space="preserve">Malaysia Kuala Lumpur</w:t>
      </w:r>
      <w:r>
        <w:t xml:space="preserve">, or at such other location within the Federal Territory of Kuala Lumpur as mutually agreed upon.</w:t>
      </w:r>
    </w:p>
    <w:p>
      <w:pPr>
        <w:numPr>
          <w:ilvl w:val="0"/>
          <w:numId w:val="1001"/>
        </w:numPr>
        <w:pStyle w:val="Compact"/>
      </w:pPr>
      <w:r>
        <w:t xml:space="preserve">Payment shall be made within thirty (30) days from the date of invoice issuance. Invoices shall be submitted in Malaysian Ringgit (MYR) and shall reference this</w:t>
      </w:r>
      <w:r>
        <w:t xml:space="preserve"> </w:t>
      </w:r>
      <w:r>
        <w:t xml:space="preserve">Purchase Order</w:t>
      </w:r>
      <w:r>
        <w:t xml:space="preserve"> </w:t>
      </w:r>
      <w:r>
        <w:t xml:space="preserve">number (PO-MSL-2025-00472).</w:t>
      </w:r>
    </w:p>
    <w:p>
      <w:pPr>
        <w:numPr>
          <w:ilvl w:val="0"/>
          <w:numId w:val="1001"/>
        </w:numPr>
        <w:pStyle w:val="Compact"/>
      </w:pPr>
      <w:r>
        <w:t xml:space="preserve">The</w:t>
      </w:r>
      <w:r>
        <w:t xml:space="preserve"> </w:t>
      </w:r>
      <w:r>
        <w:t xml:space="preserve">Business Consultant</w:t>
      </w:r>
      <w:r>
        <w:t xml:space="preserve"> </w:t>
      </w:r>
      <w:r>
        <w:t xml:space="preserve">shall maintain full professional confidentiality regarding all proprietary information, trade secrets, and strategic data of the Purchaser. A separate Non-Disclosure Agreement (NDA) executed on 01 June 2025 shall remain in full force and effect throughout the engagement and for a period of three (3) years thereafter.</w:t>
      </w:r>
    </w:p>
    <w:p>
      <w:pPr>
        <w:numPr>
          <w:ilvl w:val="0"/>
          <w:numId w:val="1001"/>
        </w:numPr>
        <w:pStyle w:val="Compact"/>
      </w:pPr>
      <w:r>
        <w:t xml:space="preserve">The Supplier warrants that the</w:t>
      </w:r>
      <w:r>
        <w:t xml:space="preserve"> </w:t>
      </w:r>
      <w:r>
        <w:t xml:space="preserve">Business Consultant</w:t>
      </w:r>
      <w:r>
        <w:t xml:space="preserve"> </w:t>
      </w:r>
      <w:r>
        <w:t xml:space="preserve">assigned to this engagement holds relevant professional qualifications, including but not limited to Chartered Management Consultant (CMC) accreditation, and possesses a minimum of fifteen (15) years of experience in corporate strategy consulting within the Malaysian and broader ASEAN business environment.</w:t>
      </w:r>
    </w:p>
    <w:p>
      <w:pPr>
        <w:numPr>
          <w:ilvl w:val="0"/>
          <w:numId w:val="1001"/>
        </w:numPr>
        <w:pStyle w:val="Compact"/>
      </w:pPr>
      <w:r>
        <w:t xml:space="preserve">Any changes to the scope of</w:t>
      </w:r>
      <w:r>
        <w:t xml:space="preserve"> </w:t>
      </w:r>
      <w:r>
        <w:t xml:space="preserve">Business Consultant</w:t>
      </w:r>
      <w:r>
        <w:t xml:space="preserve"> </w:t>
      </w:r>
      <w:r>
        <w:t xml:space="preserve">services, additional hours, or revised deliverables must be approved in writing via a formal Purchase Order amendment before work commences. No additional charges shall be incurred without prior written authorisation from the Purchaser's Head of Procurement.</w:t>
      </w:r>
    </w:p>
    <w:p>
      <w:pPr>
        <w:numPr>
          <w:ilvl w:val="0"/>
          <w:numId w:val="1001"/>
        </w:numPr>
        <w:pStyle w:val="Compact"/>
      </w:pPr>
      <w:r>
        <w:t xml:space="preserve">The Supplier shall comply with all applicable laws and regulations of Malaysia, including the Personal Data Protection Act 2010 (PDPA), the Employment Act 1955, and the Companies Act 2016, in the course of providing</w:t>
      </w:r>
      <w:r>
        <w:t xml:space="preserve"> </w:t>
      </w:r>
      <w:r>
        <w:t xml:space="preserve">Business Consultant</w:t>
      </w:r>
      <w:r>
        <w:t xml:space="preserve"> </w:t>
      </w:r>
      <w:r>
        <w:t xml:space="preserve">services in</w:t>
      </w:r>
      <w:r>
        <w:t xml:space="preserve"> </w:t>
      </w:r>
      <w:r>
        <w:t xml:space="preserve">Malaysia Kuala Lumpur</w:t>
      </w:r>
      <w:r>
        <w:t xml:space="preserve">.</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Should negotiation fail, the dispute shall be referred to mediation under the rules of the Asian International Arbitration Centre (AIAC) in</w:t>
      </w:r>
      <w:r>
        <w:t xml:space="preserve"> </w:t>
      </w:r>
      <w:r>
        <w:t xml:space="preserve">Malaysia Kuala Lumpur</w:t>
      </w:r>
      <w:r>
        <w:t xml:space="preserve">, and failing mediation, to arbitration seated in Kuala Lumpur, Malaysia.</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Malaysia. The courts of</w:t>
      </w:r>
      <w:r>
        <w:t xml:space="preserve"> </w:t>
      </w:r>
      <w:r>
        <w:t xml:space="preserve">Malaysia Kuala Lumpur</w:t>
      </w:r>
      <w:r>
        <w:t xml:space="preserve"> </w:t>
      </w:r>
      <w:r>
        <w:t xml:space="preserve">shall have exclusive jurisdiction over any matters not resolved through arbitration.</w:t>
      </w:r>
    </w:p>
    <w:p>
      <w:pPr>
        <w:numPr>
          <w:ilvl w:val="0"/>
          <w:numId w:val="1001"/>
        </w:numPr>
        <w:pStyle w:val="Compact"/>
      </w:pPr>
      <w:r>
        <w:t xml:space="preserve">The</w:t>
      </w:r>
      <w:r>
        <w:t xml:space="preserve"> </w:t>
      </w:r>
      <w:r>
        <w:t xml:space="preserve">Business Consultant</w:t>
      </w:r>
      <w:r>
        <w:t xml:space="preserve"> </w:t>
      </w:r>
      <w:r>
        <w:t xml:space="preserve">shall provide weekly progress reports to the Purchaser's Project Steering Committee and shall attend bi-weekly review meetings held at the Purchaser's office in</w:t>
      </w:r>
      <w:r>
        <w:t xml:space="preserve"> </w:t>
      </w:r>
      <w:r>
        <w:t xml:space="preserve">Malaysia Kuala Lumpur</w:t>
      </w:r>
      <w:r>
        <w:t xml:space="preserve">.</w:t>
      </w:r>
    </w:p>
    <w:p>
      <w:pPr>
        <w:numPr>
          <w:ilvl w:val="0"/>
          <w:numId w:val="1001"/>
        </w:numPr>
        <w:pStyle w:val="Compact"/>
      </w:pPr>
      <w:r>
        <w:t xml:space="preserve">Force majeure events, including but not limited to natural disasters, government-imposed restrictions, or public health emergencies affecting</w:t>
      </w:r>
      <w:r>
        <w:t xml:space="preserve"> </w:t>
      </w:r>
      <w:r>
        <w:t xml:space="preserve">Malaysia Kuala Lumpur</w:t>
      </w:r>
      <w:r>
        <w:t xml:space="preserve">, shall relieve the affected party from performance obligations for the duration of such event, provided written notice is given within five (5) business days.</w:t>
      </w:r>
    </w:p>
    <w:p>
      <w:pPr>
        <w:pStyle w:val="FirstParagraph"/>
      </w:pPr>
      <w:r>
        <w:t xml:space="preserve">Authorisation and Acceptance</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the</w:t>
      </w:r>
      <w:r>
        <w:t xml:space="preserve"> </w:t>
      </w:r>
      <w:r>
        <w:t xml:space="preserve">Business Consultant</w:t>
      </w:r>
      <w:r>
        <w:t xml:space="preserve"> </w:t>
      </w:r>
      <w:r>
        <w:t xml:space="preserve">in</w:t>
      </w:r>
      <w:r>
        <w:t xml:space="preserve"> </w:t>
      </w:r>
      <w:r>
        <w:t xml:space="preserve">Malaysia Kuala Lumpur</w:t>
      </w:r>
      <w:r>
        <w:t xml:space="preserve">.</w:t>
      </w:r>
    </w:p>
    <w:p>
      <w:pPr>
        <w:pStyle w:val="BodyText"/>
      </w:pPr>
      <w:r>
        <w:rPr>
          <w:bCs/>
          <w:b/>
        </w:rPr>
        <w:t xml:space="preserve">For and on behalf of the Purchaser:</w:t>
      </w:r>
    </w:p>
    <w:p>
      <w:pPr>
        <w:pStyle w:val="BodyText"/>
      </w:pPr>
      <w:r>
        <w:t xml:space="preserve">Meridian Strategic Solutions Sdn. Bhd.</w:t>
      </w:r>
    </w:p>
    <w:p>
      <w:pPr>
        <w:pStyle w:val="BodyText"/>
      </w:pPr>
      <w:r>
        <w:t xml:space="preserve">Mr. Tan Wei Keat</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Apex Business Advisory Group Sdn. Bhd.</w:t>
      </w:r>
    </w:p>
    <w:p>
      <w:pPr>
        <w:pStyle w:val="BodyText"/>
      </w:pPr>
      <w:r>
        <w:t xml:space="preserve">Dr. Sarah Lim</w:t>
      </w:r>
    </w:p>
    <w:p>
      <w:pPr>
        <w:pStyle w:val="BodyText"/>
      </w:pPr>
      <w:r>
        <w:t xml:space="preserve">Lead Business Consultant / Managing Director</w:t>
      </w:r>
    </w:p>
    <w:p>
      <w:pPr>
        <w:pStyle w:val="BodyText"/>
      </w:pPr>
      <w:r>
        <w:t xml:space="preserve">Date: _______________</w:t>
      </w:r>
    </w:p>
    <w:p>
      <w:pPr>
        <w:pStyle w:val="BodyText"/>
      </w:pPr>
      <w:r>
        <w:rPr>
          <w:bCs/>
          <w:b/>
        </w:rPr>
        <w:t xml:space="preserve">Purchase Order No. PO-MSL-2025-00472</w:t>
      </w:r>
      <w:r>
        <w:t xml:space="preserve"> </w:t>
      </w:r>
      <w:r>
        <w:t xml:space="preserve">| Meridian Strategic Solutions Sdn. Bhd. | Malaysia Kuala Lumpur</w:t>
      </w:r>
    </w:p>
    <w:p>
      <w:pPr>
        <w:pStyle w:val="BodyText"/>
      </w:pPr>
      <w:r>
        <w:t xml:space="preserve">This document is the property of Meridian Strategic Solutions Sdn. Bhd. and is issued solely for the purpose of engaging Business Consultant services. Unauthorised reproduction or distribution is prohibited.</w:t>
      </w:r>
    </w:p>
    <w:p>
      <w:pPr>
        <w:pStyle w:val="BodyText"/>
      </w:pPr>
      <w:r>
        <w:t xml:space="preserve">Page 1 of 1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Malaysia Kuala Lumpur</dc:title>
  <dc:creator/>
  <dc:language>en</dc:language>
  <cp:keywords/>
  <dcterms:created xsi:type="dcterms:W3CDTF">2026-10-10T01:24:38Z</dcterms:created>
  <dcterms:modified xsi:type="dcterms:W3CDTF">2026-10-10T01:24:38Z</dcterms:modified>
</cp:coreProperties>
</file>

<file path=docProps/custom.xml><?xml version="1.0" encoding="utf-8"?>
<Properties xmlns="http://schemas.openxmlformats.org/officeDocument/2006/custom-properties" xmlns:vt="http://schemas.openxmlformats.org/officeDocument/2006/docPropsVTypes"/>
</file>