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Formal Procurement Document for Professional Services</w:t>
      </w:r>
    </w:p>
    <w:p>
      <w:pPr>
        <w:pStyle w:val="BodyText"/>
      </w:pPr>
      <w:r>
        <w:t xml:space="preserve">PO-2025-AM-0472</w:t>
      </w:r>
    </w:p>
    <w:bookmarkEnd w:id="20"/>
    <w:bookmarkStart w:id="21" w:name="issued-by-buyer"/>
    <w:p>
      <w:pPr>
        <w:pStyle w:val="Heading3"/>
      </w:pPr>
      <w:r>
        <w:t xml:space="preserve">Issued By (Buyer)</w:t>
      </w:r>
    </w:p>
    <w:p>
      <w:pPr>
        <w:pStyle w:val="FirstParagraph"/>
      </w:pPr>
      <w:r>
        <w:rPr>
          <w:bCs/>
          <w:b/>
        </w:rPr>
        <w:t xml:space="preserve">Company:</w:t>
      </w:r>
      <w:r>
        <w:t xml:space="preserve"> </w:t>
      </w:r>
      <w:r>
        <w:t xml:space="preserve">Van der Berg &amp; Partners B.V.</w:t>
      </w:r>
    </w:p>
    <w:p>
      <w:pPr>
        <w:pStyle w:val="BodyText"/>
      </w:pPr>
      <w:r>
        <w:rPr>
          <w:bCs/>
          <w:b/>
        </w:rPr>
        <w:t xml:space="preserve">Address:</w:t>
      </w:r>
      <w:r>
        <w:t xml:space="preserve"> </w:t>
      </w:r>
      <w:r>
        <w:t xml:space="preserve">Herengracht 412, 1017 BX</w:t>
      </w:r>
    </w:p>
    <w:p>
      <w:pPr>
        <w:pStyle w:val="BodyText"/>
      </w:pPr>
      <w:r>
        <w:rPr>
          <w:bCs/>
          <w:b/>
        </w:rPr>
        <w:t xml:space="preserve">City:</w:t>
      </w:r>
      <w:r>
        <w:t xml:space="preserve"> </w:t>
      </w:r>
      <w:r>
        <w:t xml:space="preserve">Netherlands Amsterdam</w:t>
      </w:r>
    </w:p>
    <w:p>
      <w:pPr>
        <w:pStyle w:val="BodyText"/>
      </w:pPr>
      <w:r>
        <w:rPr>
          <w:bCs/>
          <w:b/>
        </w:rPr>
        <w:t xml:space="preserve">Country:</w:t>
      </w:r>
      <w:r>
        <w:t xml:space="preserve"> </w:t>
      </w:r>
      <w:r>
        <w:t xml:space="preserve">The Netherlands</w:t>
      </w:r>
    </w:p>
    <w:p>
      <w:pPr>
        <w:pStyle w:val="BodyText"/>
      </w:pPr>
      <w:r>
        <w:rPr>
          <w:bCs/>
          <w:b/>
        </w:rPr>
        <w:t xml:space="preserve">KvK Number:</w:t>
      </w:r>
      <w:r>
        <w:t xml:space="preserve"> </w:t>
      </w:r>
      <w:r>
        <w:t xml:space="preserve">67890123</w:t>
      </w:r>
    </w:p>
    <w:p>
      <w:pPr>
        <w:pStyle w:val="BodyText"/>
      </w:pPr>
      <w:r>
        <w:rPr>
          <w:bCs/>
          <w:b/>
        </w:rPr>
        <w:t xml:space="preserve">VAT Number:</w:t>
      </w:r>
      <w:r>
        <w:t xml:space="preserve"> </w:t>
      </w:r>
      <w:r>
        <w:t xml:space="preserve">NL861234567B01</w:t>
      </w:r>
    </w:p>
    <w:p>
      <w:pPr>
        <w:pStyle w:val="BodyText"/>
      </w:pPr>
      <w:r>
        <w:rPr>
          <w:bCs/>
          <w:b/>
        </w:rPr>
        <w:t xml:space="preserve">Contact:</w:t>
      </w:r>
      <w:r>
        <w:t xml:space="preserve"> </w:t>
      </w:r>
      <w:r>
        <w:t xml:space="preserve">mr. J. van der Berg, Procurement Director</w:t>
      </w:r>
    </w:p>
    <w:p>
      <w:pPr>
        <w:pStyle w:val="BodyText"/>
      </w:pPr>
      <w:r>
        <w:rPr>
          <w:bCs/>
          <w:b/>
        </w:rPr>
        <w:t xml:space="preserve">Email:</w:t>
      </w:r>
      <w:r>
        <w:t xml:space="preserve"> </w:t>
      </w:r>
      <w:r>
        <w:t xml:space="preserve">procurement@vdbpartners.nl</w:t>
      </w:r>
    </w:p>
    <w:bookmarkEnd w:id="21"/>
    <w:bookmarkStart w:id="22" w:name="issued-to-supplier"/>
    <w:p>
      <w:pPr>
        <w:pStyle w:val="Heading3"/>
      </w:pPr>
      <w:r>
        <w:t xml:space="preserve">Issued To (Supplier)</w:t>
      </w:r>
    </w:p>
    <w:p>
      <w:pPr>
        <w:pStyle w:val="FirstParagraph"/>
      </w:pPr>
      <w:r>
        <w:rPr>
          <w:bCs/>
          <w:b/>
        </w:rPr>
        <w:t xml:space="preserve">Company:</w:t>
      </w:r>
      <w:r>
        <w:t xml:space="preserve"> </w:t>
      </w:r>
      <w:r>
        <w:t xml:space="preserve">Strategic Advisory Group N.V.</w:t>
      </w:r>
    </w:p>
    <w:p>
      <w:pPr>
        <w:pStyle w:val="BodyText"/>
      </w:pPr>
      <w:r>
        <w:rPr>
          <w:bCs/>
          <w:b/>
        </w:rPr>
        <w:t xml:space="preserve">Address:</w:t>
      </w:r>
      <w:r>
        <w:t xml:space="preserve"> </w:t>
      </w:r>
      <w:r>
        <w:t xml:space="preserve">Keizersgracht 88, 1015 CJ</w:t>
      </w:r>
    </w:p>
    <w:p>
      <w:pPr>
        <w:pStyle w:val="BodyText"/>
      </w:pPr>
      <w:r>
        <w:rPr>
          <w:bCs/>
          <w:b/>
        </w:rPr>
        <w:t xml:space="preserve">City:</w:t>
      </w:r>
      <w:r>
        <w:t xml:space="preserve"> </w:t>
      </w:r>
      <w:r>
        <w:t xml:space="preserve">Netherlands Amsterdam</w:t>
      </w:r>
    </w:p>
    <w:p>
      <w:pPr>
        <w:pStyle w:val="BodyText"/>
      </w:pPr>
      <w:r>
        <w:rPr>
          <w:bCs/>
          <w:b/>
        </w:rPr>
        <w:t xml:space="preserve">Country:</w:t>
      </w:r>
      <w:r>
        <w:t xml:space="preserve"> </w:t>
      </w:r>
      <w:r>
        <w:t xml:space="preserve">The Netherlands</w:t>
      </w:r>
    </w:p>
    <w:p>
      <w:pPr>
        <w:pStyle w:val="BodyText"/>
      </w:pPr>
      <w:r>
        <w:rPr>
          <w:bCs/>
          <w:b/>
        </w:rPr>
        <w:t xml:space="preserve">KvK Number:</w:t>
      </w:r>
      <w:r>
        <w:t xml:space="preserve"> </w:t>
      </w:r>
      <w:r>
        <w:t xml:space="preserve">54321098</w:t>
      </w:r>
    </w:p>
    <w:p>
      <w:pPr>
        <w:pStyle w:val="BodyText"/>
      </w:pPr>
      <w:r>
        <w:rPr>
          <w:bCs/>
          <w:b/>
        </w:rPr>
        <w:t xml:space="preserve">VAT Number:</w:t>
      </w:r>
      <w:r>
        <w:t xml:space="preserve"> </w:t>
      </w:r>
      <w:r>
        <w:t xml:space="preserve">NL859876543B01</w:t>
      </w:r>
    </w:p>
    <w:p>
      <w:pPr>
        <w:pStyle w:val="BodyText"/>
      </w:pPr>
      <w:r>
        <w:rPr>
          <w:bCs/>
          <w:b/>
        </w:rPr>
        <w:t xml:space="preserve">Contact:</w:t>
      </w:r>
      <w:r>
        <w:t xml:space="preserve"> </w:t>
      </w:r>
      <w:r>
        <w:t xml:space="preserve">dr. E. de Vries, Lead Business Consultant</w:t>
      </w:r>
    </w:p>
    <w:p>
      <w:pPr>
        <w:pStyle w:val="BodyText"/>
      </w:pPr>
      <w:r>
        <w:rPr>
          <w:bCs/>
          <w:b/>
        </w:rPr>
        <w:t xml:space="preserve">Email:</w:t>
      </w:r>
      <w:r>
        <w:t xml:space="preserve"> </w:t>
      </w:r>
      <w:r>
        <w:t xml:space="preserve">edevries@sag-advisory.nl</w:t>
      </w:r>
    </w:p>
    <w:bookmarkEnd w:id="22"/>
    <w:bookmarkStart w:id="23" w:name="purchase-order-details"/>
    <w:p>
      <w:pPr>
        <w:pStyle w:val="Heading3"/>
      </w:pPr>
      <w:r>
        <w:t xml:space="preserve">Purchase Order Details</w:t>
      </w:r>
    </w:p>
    <w:p>
      <w:pPr>
        <w:pStyle w:val="FirstParagraph"/>
      </w:pPr>
      <w:r>
        <w:rPr>
          <w:bCs/>
          <w:b/>
        </w:rPr>
        <w:t xml:space="preserve">Purchase Order Number:</w:t>
      </w:r>
      <w:r>
        <w:t xml:space="preserve"> </w:t>
      </w:r>
      <w:r>
        <w:t xml:space="preserve">PO-2025-AM-0472</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1 July 2025</w:t>
      </w:r>
    </w:p>
    <w:p>
      <w:pPr>
        <w:pStyle w:val="BodyText"/>
      </w:pPr>
      <w:r>
        <w:rPr>
          <w:bCs/>
          <w:b/>
        </w:rPr>
        <w:t xml:space="preserve">Expected Completion:</w:t>
      </w:r>
      <w:r>
        <w:t xml:space="preserve"> </w:t>
      </w:r>
      <w:r>
        <w:t xml:space="preserve">31 December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EUR (€)</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Operational Excellence &amp; Digital Transformation</w:t>
      </w:r>
    </w:p>
    <w:p>
      <w:pPr>
        <w:pStyle w:val="BodyText"/>
      </w:pPr>
      <w:r>
        <w:rPr>
          <w:bCs/>
          <w:b/>
        </w:rPr>
        <w:t xml:space="preserve">Department:</w:t>
      </w:r>
      <w:r>
        <w:t xml:space="preserve"> </w:t>
      </w:r>
      <w:r>
        <w:t xml:space="preserve">Strategy &amp; Operations</w:t>
      </w:r>
    </w:p>
    <w:p>
      <w:pPr>
        <w:pStyle w:val="BodyText"/>
      </w:pPr>
      <w:r>
        <w:rPr>
          <w:bCs/>
          <w:b/>
        </w:rPr>
        <w:t xml:space="preserve">Approved By:</w:t>
      </w:r>
      <w:r>
        <w:t xml:space="preserve"> </w:t>
      </w:r>
      <w:r>
        <w:t xml:space="preserve">Board of Directors, Van der Berg &amp; Partners B.V.</w:t>
      </w:r>
    </w:p>
    <w:p>
      <w:pPr>
        <w:pStyle w:val="BodyText"/>
      </w:pPr>
      <w:r>
        <w:rPr>
          <w:bCs/>
          <w:b/>
        </w:rPr>
        <w:t xml:space="preserve">Location of Services:</w:t>
      </w:r>
      <w:r>
        <w:t xml:space="preserve"> </w:t>
      </w:r>
      <w:r>
        <w:t xml:space="preserve">Netherlands Amsterdam, Herengracht 412</w:t>
      </w:r>
    </w:p>
    <w:p>
      <w:pPr>
        <w:pStyle w:val="BodyText"/>
      </w:pPr>
      <w:r>
        <w:rPr>
          <w:bCs/>
          <w:b/>
        </w:rPr>
        <w:t xml:space="preserve">Classification:</w:t>
      </w:r>
      <w:r>
        <w:t xml:space="preserve"> </w:t>
      </w:r>
      <w:r>
        <w:t xml:space="preserve">Confidential – Internal Use Only</w:t>
      </w:r>
    </w:p>
    <w:bookmarkEnd w:id="24"/>
    <w:bookmarkStart w:id="25" w:name="X38c04614c6852dc42671939c78d168ce144be86"/>
    <w:p>
      <w:pPr>
        <w:pStyle w:val="Heading2"/>
      </w:pPr>
      <w:r>
        <w:t xml:space="preserve">Scope of Services – Business Consultant Engagement</w:t>
      </w:r>
    </w:p>
    <w:p>
      <w:pPr>
        <w:pStyle w:val="FirstParagraph"/>
      </w:pPr>
      <w:r>
        <w:t xml:space="preserve">This Purchase Order formally authorizes the engagement of a qualified</w:t>
      </w:r>
      <w:r>
        <w:t xml:space="preserve"> </w:t>
      </w:r>
      <w:r>
        <w:rPr>
          <w:bCs/>
          <w:b/>
        </w:rPr>
        <w:t xml:space="preserve">Business Consultant</w:t>
      </w:r>
      <w:r>
        <w:t xml:space="preserve"> </w:t>
      </w:r>
      <w:r>
        <w:t xml:space="preserve">to provide strategic advisory services to Van der Berg &amp; Partners B.V. The Business Consultant, represented by dr. E. de Vries of Strategic Advisory Group N.V., shall deliver comprehensive consulting services in the Netherlands Amsterdam office and, where necessary, at the client's satellite locations within the Randstad region. The scope of the Business Consultant's responsibilities is detailed in the line items below.</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Qty (hrs)</w:t>
            </w:r>
          </w:p>
        </w:tc>
        <w:tc>
          <w:tcPr/>
          <w:p>
            <w:pPr>
              <w:pStyle w:val="Compact"/>
              <w:jc w:val="left"/>
            </w:pPr>
            <w:r>
              <w:t xml:space="preserve">Amount (EUR)</w:t>
            </w:r>
          </w:p>
        </w:tc>
        <w:tc>
          <w:tcPr/>
          <w:p>
            <w:pPr>
              <w:pStyle w:val="Compact"/>
              <w:jc w:val="left"/>
            </w:pPr>
            <w:r>
              <w:t xml:space="preserve">Deliverable</w:t>
            </w:r>
          </w:p>
        </w:tc>
      </w:tr>
      <w:tr>
        <w:tc>
          <w:tcPr/>
          <w:p>
            <w:pPr>
              <w:pStyle w:val="Compact"/>
              <w:jc w:val="left"/>
            </w:pPr>
            <w:r>
              <w:t xml:space="preserve">1</w:t>
            </w:r>
          </w:p>
        </w:tc>
        <w:tc>
          <w:tcPr/>
          <w:p>
            <w:pPr>
              <w:pStyle w:val="Compact"/>
              <w:jc w:val="left"/>
            </w:pPr>
            <w:r>
              <w:t xml:space="preserve">Business Consultant – Strategic Operations Audit &amp; Process Mapping</w:t>
            </w:r>
          </w:p>
        </w:tc>
        <w:tc>
          <w:tcPr/>
          <w:p>
            <w:pPr>
              <w:pStyle w:val="Compact"/>
              <w:jc w:val="left"/>
            </w:pPr>
            <w:r>
              <w:t xml:space="preserve">July 2025</w:t>
            </w:r>
          </w:p>
        </w:tc>
        <w:tc>
          <w:tcPr/>
          <w:p>
            <w:pPr>
              <w:pStyle w:val="Compact"/>
              <w:jc w:val="left"/>
            </w:pPr>
            <w:r>
              <w:t xml:space="preserve">€185.00</w:t>
            </w:r>
          </w:p>
        </w:tc>
        <w:tc>
          <w:tcPr/>
          <w:p>
            <w:pPr>
              <w:pStyle w:val="Compact"/>
              <w:jc w:val="left"/>
            </w:pPr>
            <w:r>
              <w:t xml:space="preserve">120</w:t>
            </w:r>
          </w:p>
        </w:tc>
        <w:tc>
          <w:tcPr/>
          <w:p>
            <w:pPr>
              <w:pStyle w:val="Compact"/>
              <w:jc w:val="left"/>
            </w:pPr>
            <w:r>
              <w:t xml:space="preserve">€22,200.00</w:t>
            </w:r>
          </w:p>
        </w:tc>
        <w:tc>
          <w:tcPr/>
          <w:p>
            <w:pPr>
              <w:pStyle w:val="Compact"/>
              <w:jc w:val="left"/>
            </w:pPr>
            <w:r>
              <w:t xml:space="preserve">Audit Report &amp; Process Maps</w:t>
            </w:r>
          </w:p>
        </w:tc>
      </w:tr>
      <w:tr>
        <w:tc>
          <w:tcPr/>
          <w:p>
            <w:pPr>
              <w:pStyle w:val="Compact"/>
              <w:jc w:val="left"/>
            </w:pPr>
            <w:r>
              <w:t xml:space="preserve">2</w:t>
            </w:r>
          </w:p>
        </w:tc>
        <w:tc>
          <w:tcPr/>
          <w:p>
            <w:pPr>
              <w:pStyle w:val="Compact"/>
              <w:jc w:val="left"/>
            </w:pPr>
            <w:r>
              <w:t xml:space="preserve">Business Consultant – Digital Transformation Roadmap Development</w:t>
            </w:r>
          </w:p>
        </w:tc>
        <w:tc>
          <w:tcPr/>
          <w:p>
            <w:pPr>
              <w:pStyle w:val="Compact"/>
              <w:jc w:val="left"/>
            </w:pPr>
            <w:r>
              <w:t xml:space="preserve">Aug – Sep 2025</w:t>
            </w:r>
          </w:p>
        </w:tc>
        <w:tc>
          <w:tcPr/>
          <w:p>
            <w:pPr>
              <w:pStyle w:val="Compact"/>
              <w:jc w:val="left"/>
            </w:pPr>
            <w:r>
              <w:t xml:space="preserve">€185.00</w:t>
            </w:r>
          </w:p>
        </w:tc>
        <w:tc>
          <w:tcPr/>
          <w:p>
            <w:pPr>
              <w:pStyle w:val="Compact"/>
              <w:jc w:val="left"/>
            </w:pPr>
            <w:r>
              <w:t xml:space="preserve">160</w:t>
            </w:r>
          </w:p>
        </w:tc>
        <w:tc>
          <w:tcPr/>
          <w:p>
            <w:pPr>
              <w:pStyle w:val="Compact"/>
              <w:jc w:val="left"/>
            </w:pPr>
            <w:r>
              <w:t xml:space="preserve">€29,600.00</w:t>
            </w:r>
          </w:p>
        </w:tc>
        <w:tc>
          <w:tcPr/>
          <w:p>
            <w:pPr>
              <w:pStyle w:val="Compact"/>
              <w:jc w:val="left"/>
            </w:pPr>
            <w:r>
              <w:t xml:space="preserve">Transformation Roadmap Document</w:t>
            </w:r>
          </w:p>
        </w:tc>
      </w:tr>
      <w:tr>
        <w:tc>
          <w:tcPr/>
          <w:p>
            <w:pPr>
              <w:pStyle w:val="Compact"/>
              <w:jc w:val="left"/>
            </w:pPr>
            <w:r>
              <w:t xml:space="preserve">3</w:t>
            </w:r>
          </w:p>
        </w:tc>
        <w:tc>
          <w:tcPr/>
          <w:p>
            <w:pPr>
              <w:pStyle w:val="Compact"/>
              <w:jc w:val="left"/>
            </w:pPr>
            <w:r>
              <w:t xml:space="preserve">Business Consultant – Change Management &amp; Stakeholder Workshops</w:t>
            </w:r>
          </w:p>
        </w:tc>
        <w:tc>
          <w:tcPr/>
          <w:p>
            <w:pPr>
              <w:pStyle w:val="Compact"/>
              <w:jc w:val="left"/>
            </w:pPr>
            <w:r>
              <w:t xml:space="preserve">Oct 2025</w:t>
            </w:r>
          </w:p>
        </w:tc>
        <w:tc>
          <w:tcPr/>
          <w:p>
            <w:pPr>
              <w:pStyle w:val="Compact"/>
              <w:jc w:val="left"/>
            </w:pPr>
            <w:r>
              <w:t xml:space="preserve">€175.00</w:t>
            </w:r>
          </w:p>
        </w:tc>
        <w:tc>
          <w:tcPr/>
          <w:p>
            <w:pPr>
              <w:pStyle w:val="Compact"/>
              <w:jc w:val="left"/>
            </w:pPr>
            <w:r>
              <w:t xml:space="preserve">80</w:t>
            </w:r>
          </w:p>
        </w:tc>
        <w:tc>
          <w:tcPr/>
          <w:p>
            <w:pPr>
              <w:pStyle w:val="Compact"/>
              <w:jc w:val="left"/>
            </w:pPr>
            <w:r>
              <w:t xml:space="preserve">€14,000.00</w:t>
            </w:r>
          </w:p>
        </w:tc>
        <w:tc>
          <w:tcPr/>
          <w:p>
            <w:pPr>
              <w:pStyle w:val="Compact"/>
              <w:jc w:val="left"/>
            </w:pPr>
            <w:r>
              <w:t xml:space="preserve">Workshop Materials &amp; Minutes</w:t>
            </w:r>
          </w:p>
        </w:tc>
      </w:tr>
      <w:tr>
        <w:tc>
          <w:tcPr/>
          <w:p>
            <w:pPr>
              <w:pStyle w:val="Compact"/>
              <w:jc w:val="left"/>
            </w:pPr>
            <w:r>
              <w:t xml:space="preserve">4</w:t>
            </w:r>
          </w:p>
        </w:tc>
        <w:tc>
          <w:tcPr/>
          <w:p>
            <w:pPr>
              <w:pStyle w:val="Compact"/>
              <w:jc w:val="left"/>
            </w:pPr>
            <w:r>
              <w:t xml:space="preserve">Business Consultant – KPI Framework Design &amp; Implementation Support</w:t>
            </w:r>
          </w:p>
        </w:tc>
        <w:tc>
          <w:tcPr/>
          <w:p>
            <w:pPr>
              <w:pStyle w:val="Compact"/>
              <w:jc w:val="left"/>
            </w:pPr>
            <w:r>
              <w:t xml:space="preserve">Nov 2025</w:t>
            </w:r>
          </w:p>
        </w:tc>
        <w:tc>
          <w:tcPr/>
          <w:p>
            <w:pPr>
              <w:pStyle w:val="Compact"/>
              <w:jc w:val="left"/>
            </w:pPr>
            <w:r>
              <w:t xml:space="preserve">€185.00</w:t>
            </w:r>
          </w:p>
        </w:tc>
        <w:tc>
          <w:tcPr/>
          <w:p>
            <w:pPr>
              <w:pStyle w:val="Compact"/>
              <w:jc w:val="left"/>
            </w:pPr>
            <w:r>
              <w:t xml:space="preserve">100</w:t>
            </w:r>
          </w:p>
        </w:tc>
        <w:tc>
          <w:tcPr/>
          <w:p>
            <w:pPr>
              <w:pStyle w:val="Compact"/>
              <w:jc w:val="left"/>
            </w:pPr>
            <w:r>
              <w:t xml:space="preserve">€18,500.00</w:t>
            </w:r>
          </w:p>
        </w:tc>
        <w:tc>
          <w:tcPr/>
          <w:p>
            <w:pPr>
              <w:pStyle w:val="Compact"/>
              <w:jc w:val="left"/>
            </w:pPr>
            <w:r>
              <w:t xml:space="preserve">KPI Dashboard &amp; Implementation Guide</w:t>
            </w:r>
          </w:p>
        </w:tc>
      </w:tr>
      <w:tr>
        <w:tc>
          <w:tcPr/>
          <w:p>
            <w:pPr>
              <w:pStyle w:val="Compact"/>
              <w:jc w:val="left"/>
            </w:pPr>
            <w:r>
              <w:t xml:space="preserve">5</w:t>
            </w:r>
          </w:p>
        </w:tc>
        <w:tc>
          <w:tcPr/>
          <w:p>
            <w:pPr>
              <w:pStyle w:val="Compact"/>
              <w:jc w:val="left"/>
            </w:pPr>
            <w:r>
              <w:t xml:space="preserve">Business Consultant – Final Review, Recommendations &amp; Handover</w:t>
            </w:r>
          </w:p>
        </w:tc>
        <w:tc>
          <w:tcPr/>
          <w:p>
            <w:pPr>
              <w:pStyle w:val="Compact"/>
              <w:jc w:val="left"/>
            </w:pPr>
            <w:r>
              <w:t xml:space="preserve">Dec 2025</w:t>
            </w:r>
          </w:p>
        </w:tc>
        <w:tc>
          <w:tcPr/>
          <w:p>
            <w:pPr>
              <w:pStyle w:val="Compact"/>
              <w:jc w:val="left"/>
            </w:pPr>
            <w:r>
              <w:t xml:space="preserve">€195.00</w:t>
            </w:r>
          </w:p>
        </w:tc>
        <w:tc>
          <w:tcPr/>
          <w:p>
            <w:pPr>
              <w:pStyle w:val="Compact"/>
              <w:jc w:val="left"/>
            </w:pPr>
            <w:r>
              <w:t xml:space="preserve">60</w:t>
            </w:r>
          </w:p>
        </w:tc>
        <w:tc>
          <w:tcPr/>
          <w:p>
            <w:pPr>
              <w:pStyle w:val="Compact"/>
              <w:jc w:val="left"/>
            </w:pPr>
            <w:r>
              <w:t xml:space="preserve">€11,700.00</w:t>
            </w:r>
          </w:p>
        </w:tc>
        <w:tc>
          <w:tcPr/>
          <w:p>
            <w:pPr>
              <w:pStyle w:val="Compact"/>
              <w:jc w:val="left"/>
            </w:pPr>
            <w:r>
              <w:t xml:space="preserve">Final Report &amp; Executive Presentation</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Subtotal</w:t>
            </w:r>
          </w:p>
        </w:tc>
        <w:tc>
          <w:tcPr/>
          <w:p>
            <w:pPr>
              <w:pStyle w:val="Compact"/>
              <w:jc w:val="right"/>
            </w:pPr>
            <w:r>
              <w:t xml:space="preserve">€96,000.00</w:t>
            </w:r>
          </w:p>
        </w:tc>
      </w:tr>
      <w:tr>
        <w:tc>
          <w:tcPr/>
          <w:p>
            <w:pPr>
              <w:pStyle w:val="Compact"/>
              <w:jc w:val="left"/>
            </w:pPr>
            <w:r>
              <w:t xml:space="preserve">VAT (21% – Netherlands)</w:t>
            </w:r>
          </w:p>
        </w:tc>
        <w:tc>
          <w:tcPr/>
          <w:p>
            <w:pPr>
              <w:pStyle w:val="Compact"/>
              <w:jc w:val="right"/>
            </w:pPr>
            <w:r>
              <w:t xml:space="preserve">€20,160.00</w:t>
            </w:r>
          </w:p>
        </w:tc>
      </w:tr>
      <w:tr>
        <w:tc>
          <w:tcPr/>
          <w:p>
            <w:pPr>
              <w:pStyle w:val="Compact"/>
              <w:jc w:val="left"/>
            </w:pPr>
            <w:r>
              <w:t xml:space="preserve">Grand Total (EUR)</w:t>
            </w:r>
          </w:p>
        </w:tc>
        <w:tc>
          <w:tcPr/>
          <w:p>
            <w:pPr>
              <w:pStyle w:val="Compact"/>
              <w:jc w:val="right"/>
            </w:pPr>
            <w:r>
              <w:t xml:space="preserve">€116,160.00</w:t>
            </w:r>
          </w:p>
        </w:tc>
      </w:tr>
    </w:tbl>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Van der Berg &amp; Partners B.V. (hereinafter "the Client") and Strategic Advisory Group N.V. (hereinafter "the Business Consultant Provider") for the provision of Business Consultant services as described herein. All services shall be performed in accordance with the professional standards expected of a Business Consultant operating in the Netherlands Amsterdam market.</w:t>
      </w:r>
    </w:p>
    <w:p>
      <w:pPr>
        <w:numPr>
          <w:ilvl w:val="0"/>
          <w:numId w:val="1001"/>
        </w:numPr>
        <w:pStyle w:val="Compact"/>
      </w:pPr>
      <w:r>
        <w:t xml:space="preserve">The Business Consultant shall devote the hours specified in this Purchase Order to the Client's project. Any additional hours beyond the agreed scope require prior written approval from the Client's Procurement Director and shall be billed at the rates specified in this document.</w:t>
      </w:r>
    </w:p>
    <w:p>
      <w:pPr>
        <w:numPr>
          <w:ilvl w:val="0"/>
          <w:numId w:val="1001"/>
        </w:numPr>
        <w:pStyle w:val="Compact"/>
      </w:pPr>
      <w:r>
        <w:t xml:space="preserve">All deliverables produced by the Business Consultant shall be the exclusive intellectual property of the Client upon full payment. The Business Consultant shall not reuse, republish, or disclose any proprietary information obtained during the engagement in the Netherlands Amsterdam office or any other location.</w:t>
      </w:r>
    </w:p>
    <w:p>
      <w:pPr>
        <w:numPr>
          <w:ilvl w:val="0"/>
          <w:numId w:val="1001"/>
        </w:numPr>
        <w:pStyle w:val="Compact"/>
      </w:pPr>
      <w:r>
        <w:t xml:space="preserve">Payment shall be made via bank transfer to the account specified by the Business Consultant Provider within thirty (30) calendar days of receipt of a valid invoice. Late payments shall accrue interest at the statutory rate as defined under Dutch civil law (Burgerlijk Wetboek, Book 6).</w:t>
      </w:r>
    </w:p>
    <w:p>
      <w:pPr>
        <w:numPr>
          <w:ilvl w:val="0"/>
          <w:numId w:val="1001"/>
        </w:numPr>
        <w:pStyle w:val="Compact"/>
      </w:pPr>
      <w:r>
        <w:t xml:space="preserve">The Business Consultant shall comply with all applicable Dutch data protection regulations, including the GDPR and the Dutch UAVG (Uitvoeringswet AVG), when handling any personal data encountered during the engagement.</w:t>
      </w:r>
    </w:p>
    <w:p>
      <w:pPr>
        <w:numPr>
          <w:ilvl w:val="0"/>
          <w:numId w:val="1001"/>
        </w:numPr>
        <w:pStyle w:val="Compact"/>
      </w:pPr>
      <w:r>
        <w:t xml:space="preserve">Either party may terminate this Purchase Order with thirty (30) days' written notice. In the event of early termination, the Client shall pay for all services rendered up to the termination date, as documented by the Business Consultant's timesheets.</w:t>
      </w:r>
    </w:p>
    <w:p>
      <w:pPr>
        <w:numPr>
          <w:ilvl w:val="0"/>
          <w:numId w:val="1001"/>
        </w:numPr>
        <w:pStyle w:val="Compact"/>
      </w:pPr>
      <w:r>
        <w:t xml:space="preserve">All disputes arising from this Purchase Order shall be resolved through the competent courts in the Netherlands Amsterdam, or by arbitration under the rules of the Netherlands Arbitration Institute (NBI) if both parties agree in writing.</w:t>
      </w:r>
    </w:p>
    <w:p>
      <w:pPr>
        <w:numPr>
          <w:ilvl w:val="0"/>
          <w:numId w:val="1001"/>
        </w:numPr>
        <w:pStyle w:val="Compact"/>
      </w:pPr>
      <w:r>
        <w:t xml:space="preserve">This Purchase Order is governed by the laws of the Netherlands. The Business Consultant acknowledges that all on-site work shall take place at the Client's premises in the Netherlands Amsterdam, and the Business Consultant shall adhere to all site safety and access protocols.</w:t>
      </w:r>
    </w:p>
    <w:p>
      <w:pPr>
        <w:numPr>
          <w:ilvl w:val="0"/>
          <w:numId w:val="1001"/>
        </w:numPr>
        <w:pStyle w:val="Compact"/>
      </w:pPr>
      <w:r>
        <w:t xml:space="preserve">The Business Consultant shall maintain professional indemnity insurance with a minimum coverage of €2,500,000 for the duration of this engagement and shall provide a certificate of insurance upon request.</w:t>
      </w:r>
    </w:p>
    <w:p>
      <w:pPr>
        <w:numPr>
          <w:ilvl w:val="0"/>
          <w:numId w:val="1001"/>
        </w:numPr>
        <w:pStyle w:val="Compact"/>
      </w:pPr>
      <w:r>
        <w:t xml:space="preserve">This Purchase Order may only be amended by a written addendum signed by both parties. Verbal agreements or informal communications shall not constitute a modification of this document.</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accept the terms, conditions, scope of work, and financial obligations outlined in this Purchase Order for the Business Consultant engagement in the Netherlands Amsterdam. This document represents the complete and final agreement between the parties regarding the services described herein.</w:t>
      </w:r>
    </w:p>
    <w:p>
      <w:pPr>
        <w:pStyle w:val="BodyText"/>
      </w:pPr>
      <w:r>
        <w:rPr>
          <w:bCs/>
          <w:b/>
        </w:rPr>
        <w:t xml:space="preserve">For the Client:</w:t>
      </w:r>
    </w:p>
    <w:p>
      <w:pPr>
        <w:pStyle w:val="BodyText"/>
      </w:pPr>
      <w:r>
        <w:t xml:space="preserve">mr. J. van der Berg</w:t>
      </w:r>
    </w:p>
    <w:p>
      <w:pPr>
        <w:pStyle w:val="BodyText"/>
      </w:pPr>
      <w:r>
        <w:t xml:space="preserve">Procurement Director</w:t>
      </w:r>
    </w:p>
    <w:p>
      <w:pPr>
        <w:pStyle w:val="BodyText"/>
      </w:pPr>
      <w:r>
        <w:t xml:space="preserve">Van der Berg &amp; Partners B.V.</w:t>
      </w:r>
    </w:p>
    <w:p>
      <w:pPr>
        <w:pStyle w:val="BodyText"/>
      </w:pPr>
      <w:r>
        <w:t xml:space="preserve">Netherlands Amsterdam</w:t>
      </w:r>
    </w:p>
    <w:p>
      <w:pPr>
        <w:pStyle w:val="BodyText"/>
      </w:pPr>
      <w:r>
        <w:t xml:space="preserve">Date: _______________</w:t>
      </w:r>
    </w:p>
    <w:p>
      <w:pPr>
        <w:pStyle w:val="BodyText"/>
      </w:pPr>
      <w:r>
        <w:rPr>
          <w:bCs/>
          <w:b/>
        </w:rPr>
        <w:t xml:space="preserve">For the Business Consultant Provider:</w:t>
      </w:r>
    </w:p>
    <w:p>
      <w:pPr>
        <w:pStyle w:val="BodyText"/>
      </w:pPr>
      <w:r>
        <w:t xml:space="preserve">dr. E. de Vries</w:t>
      </w:r>
    </w:p>
    <w:p>
      <w:pPr>
        <w:pStyle w:val="BodyText"/>
      </w:pPr>
      <w:r>
        <w:t xml:space="preserve">Lead Business Consultant</w:t>
      </w:r>
    </w:p>
    <w:p>
      <w:pPr>
        <w:pStyle w:val="BodyText"/>
      </w:pPr>
      <w:r>
        <w:t xml:space="preserve">Strategic Advisory Group N.V.</w:t>
      </w:r>
    </w:p>
    <w:p>
      <w:pPr>
        <w:pStyle w:val="BodyText"/>
      </w:pPr>
      <w:r>
        <w:t xml:space="preserve">Netherlands Amsterdam</w:t>
      </w:r>
    </w:p>
    <w:p>
      <w:pPr>
        <w:pStyle w:val="BodyText"/>
      </w:pPr>
      <w:r>
        <w:t xml:space="preserve">Date: _______________</w:t>
      </w:r>
    </w:p>
    <w:p>
      <w:pPr>
        <w:pStyle w:val="BodyText"/>
      </w:pPr>
      <w:r>
        <w:t xml:space="preserve">Purchase Order PO-2025-AM-0472 | Van der Berg &amp; Partners B.V. | Herengracht 412, 1017 BX Netherlands Amsterdam | The Netherlands</w:t>
      </w:r>
    </w:p>
    <w:p>
      <w:pPr>
        <w:pStyle w:val="BodyText"/>
      </w:pPr>
      <w:r>
        <w:t xml:space="preserve">This document is confidential and intended solely for the named parties. Unauthorized reproduction or distribution is prohibited.</w:t>
      </w:r>
    </w:p>
    <w:p>
      <w:pPr>
        <w:pStyle w:val="BodyText"/>
      </w:pPr>
      <w:r>
        <w:t xml:space="preserve">Page 1 of 1 | Generated: 14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 Netherlands Amsterdam</dc:title>
  <dc:creator/>
  <dc:language>en</dc:language>
  <cp:keywords/>
  <dcterms:created xsi:type="dcterms:W3CDTF">2026-10-10T04:14:30Z</dcterms:created>
  <dcterms:modified xsi:type="dcterms:W3CDTF">2026-10-10T04:14:30Z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