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Business</w:t>
      </w:r>
      <w:r>
        <w:t xml:space="preserve"> </w:t>
      </w:r>
      <w:r>
        <w:t xml:space="preserve">Consultant</w:t>
      </w:r>
      <w:r>
        <w:t xml:space="preserve"> </w:t>
      </w:r>
      <w:r>
        <w:t xml:space="preserve">Services</w:t>
      </w:r>
      <w:r>
        <w:t xml:space="preserve"> </w:t>
      </w:r>
      <w:r>
        <w:t xml:space="preserve">-</w:t>
      </w:r>
      <w:r>
        <w:t xml:space="preserve"> </w:t>
      </w:r>
      <w:r>
        <w:t xml:space="preserve">Qatar</w:t>
      </w:r>
      <w:r>
        <w:t xml:space="preserve"> </w:t>
      </w:r>
      <w:r>
        <w:t xml:space="preserve">Doha</w:t>
      </w:r>
    </w:p>
    <w:bookmarkStart w:id="20" w:name="purchase-order"/>
    <w:p>
      <w:pPr>
        <w:pStyle w:val="Heading1"/>
      </w:pPr>
      <w:r>
        <w:t xml:space="preserve">PURCHASE ORDER</w:t>
      </w:r>
    </w:p>
    <w:p>
      <w:pPr>
        <w:pStyle w:val="FirstParagraph"/>
      </w:pPr>
      <w:r>
        <w:t xml:space="preserve">Business Consultant Professional Services — Qatar Doha</w:t>
      </w:r>
    </w:p>
    <w:p>
      <w:pPr>
        <w:pStyle w:val="BodyText"/>
      </w:pPr>
      <w:r>
        <w:t xml:space="preserve">Al Rayyan Commercial Tower, Street 42, Zone 77, Doha, State of Qatar</w:t>
      </w:r>
    </w:p>
    <w:bookmarkEnd w:id="20"/>
    <w:p>
      <w:pPr>
        <w:pStyle w:val="BodyText"/>
      </w:pPr>
      <w:r>
        <w:rPr>
          <w:bCs/>
          <w:b/>
        </w:rPr>
        <w:t xml:space="preserve">Purchase Order No.:</w:t>
      </w:r>
      <w:r>
        <w:t xml:space="preserve"> </w:t>
      </w:r>
      <w:r>
        <w:t xml:space="preserve">PO-QD-2025-04872</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Qatari Riyal (QAR)</w:t>
      </w:r>
      <w:r>
        <w:br/>
      </w:r>
      <w:r>
        <w:rPr>
          <w:bCs/>
          <w:b/>
        </w:rPr>
        <w:t xml:space="preserve">Delivery Location:</w:t>
      </w:r>
      <w:r>
        <w:t xml:space="preserve"> </w:t>
      </w:r>
      <w:r>
        <w:t xml:space="preserve">Doha, Qatar</w:t>
      </w:r>
    </w:p>
    <w:p>
      <w:pPr>
        <w:pStyle w:val="BodyText"/>
      </w:pPr>
      <w:r>
        <w:t xml:space="preserve">PARTIES TO THIS PURCHASE ORDER</w:t>
      </w:r>
    </w:p>
    <w:bookmarkStart w:id="21" w:name="buyer-purchasing-entity"/>
    <w:p>
      <w:pPr>
        <w:pStyle w:val="Heading3"/>
      </w:pPr>
      <w:r>
        <w:t xml:space="preserve">Buyer (Purchasing Entity)</w:t>
      </w:r>
    </w:p>
    <w:p>
      <w:pPr>
        <w:pStyle w:val="FirstParagraph"/>
      </w:pPr>
      <w:r>
        <w:rPr>
          <w:bCs/>
          <w:b/>
        </w:rPr>
        <w:t xml:space="preserve">Company:</w:t>
      </w:r>
      <w:r>
        <w:t xml:space="preserve"> </w:t>
      </w:r>
      <w:r>
        <w:t xml:space="preserve">Gulf Horizon Development LLC</w:t>
      </w:r>
      <w:r>
        <w:br/>
      </w:r>
      <w:r>
        <w:rPr>
          <w:bCs/>
          <w:b/>
        </w:rPr>
        <w:t xml:space="preserve">Address:</w:t>
      </w:r>
      <w:r>
        <w:t xml:space="preserve"> </w:t>
      </w:r>
      <w:r>
        <w:t xml:space="preserve">Office 1204, Al Rayyan Commercial Tower, Street 42, Zone 77, Doha, State of Qatar</w:t>
      </w:r>
      <w:r>
        <w:br/>
      </w:r>
      <w:r>
        <w:rPr>
          <w:bCs/>
          <w:b/>
        </w:rPr>
        <w:t xml:space="preserve">CR No.:</w:t>
      </w:r>
      <w:r>
        <w:t xml:space="preserve"> </w:t>
      </w:r>
      <w:r>
        <w:t xml:space="preserve">1234567</w:t>
      </w:r>
      <w:r>
        <w:br/>
      </w:r>
      <w:r>
        <w:rPr>
          <w:bCs/>
          <w:b/>
        </w:rPr>
        <w:t xml:space="preserve">VAT No.:</w:t>
      </w:r>
      <w:r>
        <w:t xml:space="preserve"> </w:t>
      </w:r>
      <w:r>
        <w:t xml:space="preserve">QV-890123456789</w:t>
      </w:r>
      <w:r>
        <w:br/>
      </w:r>
      <w:r>
        <w:rPr>
          <w:bCs/>
          <w:b/>
        </w:rPr>
        <w:t xml:space="preserve">Contact Person:</w:t>
      </w:r>
      <w:r>
        <w:t xml:space="preserve"> </w:t>
      </w:r>
      <w:r>
        <w:t xml:space="preserve">Mr. Khalid Al-Mansoori</w:t>
      </w:r>
      <w:r>
        <w:br/>
      </w:r>
      <w:r>
        <w:rPr>
          <w:bCs/>
          <w:b/>
        </w:rPr>
        <w:t xml:space="preserve">Phone:</w:t>
      </w:r>
      <w:r>
        <w:t xml:space="preserve"> </w:t>
      </w:r>
      <w:r>
        <w:t xml:space="preserve">+974 4455 6677</w:t>
      </w:r>
      <w:r>
        <w:br/>
      </w:r>
      <w:r>
        <w:rPr>
          <w:bCs/>
          <w:b/>
        </w:rPr>
        <w:t xml:space="preserve">Email:</w:t>
      </w:r>
      <w:r>
        <w:t xml:space="preserve"> </w:t>
      </w:r>
      <w:r>
        <w:t xml:space="preserve">procurement@gulfhorizon.qa</w:t>
      </w:r>
    </w:p>
    <w:bookmarkEnd w:id="21"/>
    <w:bookmarkStart w:id="22" w:name="supplier-service-provider"/>
    <w:p>
      <w:pPr>
        <w:pStyle w:val="Heading3"/>
      </w:pPr>
      <w:r>
        <w:t xml:space="preserve">Supplier (Service Provider)</w:t>
      </w:r>
    </w:p>
    <w:p>
      <w:pPr>
        <w:pStyle w:val="FirstParagraph"/>
      </w:pPr>
      <w:r>
        <w:rPr>
          <w:bCs/>
          <w:b/>
        </w:rPr>
        <w:t xml:space="preserve">Company:</w:t>
      </w:r>
      <w:r>
        <w:t xml:space="preserve"> </w:t>
      </w:r>
      <w:r>
        <w:t xml:space="preserve">Meridian Strategic Advisory FZ-LLC</w:t>
      </w:r>
      <w:r>
        <w:br/>
      </w:r>
      <w:r>
        <w:rPr>
          <w:bCs/>
          <w:b/>
        </w:rPr>
        <w:t xml:space="preserve">Address:</w:t>
      </w:r>
      <w:r>
        <w:t xml:space="preserve"> </w:t>
      </w:r>
      <w:r>
        <w:t xml:space="preserve">Level 8, Business Bay Tower, Al Sadd, Doha, State of Qatar</w:t>
      </w:r>
      <w:r>
        <w:br/>
      </w:r>
      <w:r>
        <w:rPr>
          <w:bCs/>
          <w:b/>
        </w:rPr>
        <w:t xml:space="preserve">CR No.:</w:t>
      </w:r>
      <w:r>
        <w:t xml:space="preserve"> </w:t>
      </w:r>
      <w:r>
        <w:t xml:space="preserve">7654321</w:t>
      </w:r>
      <w:r>
        <w:br/>
      </w:r>
      <w:r>
        <w:rPr>
          <w:bCs/>
          <w:b/>
        </w:rPr>
        <w:t xml:space="preserve">VAT No.:</w:t>
      </w:r>
      <w:r>
        <w:t xml:space="preserve"> </w:t>
      </w:r>
      <w:r>
        <w:t xml:space="preserve">QV-112233445566</w:t>
      </w:r>
      <w:r>
        <w:br/>
      </w:r>
      <w:r>
        <w:rPr>
          <w:bCs/>
          <w:b/>
        </w:rPr>
        <w:t xml:space="preserve">Contact Person:</w:t>
      </w:r>
      <w:r>
        <w:t xml:space="preserve"> </w:t>
      </w:r>
      <w:r>
        <w:t xml:space="preserve">Ms. Sarah Al-Thani</w:t>
      </w:r>
      <w:r>
        <w:br/>
      </w:r>
      <w:r>
        <w:rPr>
          <w:bCs/>
          <w:b/>
        </w:rPr>
        <w:t xml:space="preserve">Phone:</w:t>
      </w:r>
      <w:r>
        <w:t xml:space="preserve"> </w:t>
      </w:r>
      <w:r>
        <w:t xml:space="preserve">+974 4012 3456</w:t>
      </w:r>
      <w:r>
        <w:br/>
      </w:r>
      <w:r>
        <w:rPr>
          <w:bCs/>
          <w:b/>
        </w:rPr>
        <w:t xml:space="preserve">Email:</w:t>
      </w:r>
      <w:r>
        <w:t xml:space="preserve"> </w:t>
      </w:r>
      <w:r>
        <w:t xml:space="preserve">contracts@meridianadvisory.qa</w:t>
      </w:r>
    </w:p>
    <w:bookmarkEnd w:id="22"/>
    <w:p>
      <w:pPr>
        <w:pStyle w:val="BodyText"/>
      </w:pPr>
      <w:r>
        <w:t xml:space="preserve">SCOPE OF ENGAGEMENT — BUSINESS CONSULTANT SERVICES</w:t>
      </w:r>
    </w:p>
    <w:p>
      <w:pPr>
        <w:pStyle w:val="BodyText"/>
      </w:pPr>
      <w:r>
        <w:t xml:space="preserve">This</w:t>
      </w:r>
      <w:r>
        <w:t xml:space="preserve"> </w:t>
      </w:r>
      <w:r>
        <w:t xml:space="preserve">Purchase Order</w:t>
      </w:r>
      <w:r>
        <w:t xml:space="preserve"> </w:t>
      </w:r>
      <w:r>
        <w:t xml:space="preserve">is issued by Gulf Horizon Development LLC to formally engage Meridian Strategic Advisory FZ-LLC to provide the services of a qualified</w:t>
      </w:r>
      <w:r>
        <w:t xml:space="preserve"> </w:t>
      </w:r>
      <w:r>
        <w:t xml:space="preserve">Business Consultant</w:t>
      </w:r>
      <w:r>
        <w:t xml:space="preserve"> </w:t>
      </w:r>
      <w:r>
        <w:t xml:space="preserve">for a defined period in</w:t>
      </w:r>
      <w:r>
        <w:t xml:space="preserve"> </w:t>
      </w:r>
      <w:r>
        <w:t xml:space="preserve">Qatar Doha</w:t>
      </w:r>
      <w:r>
        <w:t xml:space="preserve">. The</w:t>
      </w:r>
      <w:r>
        <w:t xml:space="preserve"> </w:t>
      </w:r>
      <w:r>
        <w:t xml:space="preserve">Business Consultant</w:t>
      </w:r>
      <w:r>
        <w:t xml:space="preserve"> </w:t>
      </w:r>
      <w:r>
        <w:t xml:space="preserve">shall deliver strategic advisory, operational optimization, and market analysis services tailored to the buyer's expansion objectives within the State of Qatar. All services under this</w:t>
      </w:r>
      <w:r>
        <w:t xml:space="preserve"> </w:t>
      </w:r>
      <w:r>
        <w:t xml:space="preserve">Purchase Order</w:t>
      </w:r>
      <w:r>
        <w:t xml:space="preserve"> </w:t>
      </w:r>
      <w:r>
        <w:t xml:space="preserve">shall be performed in</w:t>
      </w:r>
      <w:r>
        <w:t xml:space="preserve"> </w:t>
      </w:r>
      <w:r>
        <w:t xml:space="preserve">Qatar Doha</w:t>
      </w:r>
      <w:r>
        <w:t xml:space="preserve"> </w:t>
      </w:r>
      <w:r>
        <w:t xml:space="preserve">unless otherwise agreed in writing by both parties.</w:t>
      </w:r>
    </w:p>
    <w:p>
      <w:pPr>
        <w:pStyle w:val="BodyText"/>
      </w:pPr>
      <w:r>
        <w:t xml:space="preserve">LINE ITEMS — SERVICES AND CHARGES</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Rate (QAR)</w:t>
            </w:r>
          </w:p>
        </w:tc>
        <w:tc>
          <w:tcPr/>
          <w:p>
            <w:pPr>
              <w:pStyle w:val="Compact"/>
              <w:jc w:val="left"/>
            </w:pPr>
            <w:r>
              <w:t xml:space="preserve">Qty</w:t>
            </w:r>
          </w:p>
        </w:tc>
        <w:tc>
          <w:tcPr/>
          <w:p>
            <w:pPr>
              <w:pStyle w:val="Compact"/>
              <w:jc w:val="left"/>
            </w:pPr>
            <w:r>
              <w:t xml:space="preserve">Amount (QAR)</w:t>
            </w:r>
          </w:p>
        </w:tc>
        <w:tc>
          <w:tcPr/>
          <w:p>
            <w:pPr>
              <w:pStyle w:val="Compact"/>
              <w:jc w:val="left"/>
            </w:pPr>
            <w:r>
              <w:t xml:space="preserve">VAT 15%</w:t>
            </w:r>
          </w:p>
        </w:tc>
      </w:tr>
      <w:tr>
        <w:tc>
          <w:tcPr/>
          <w:p>
            <w:pPr>
              <w:pStyle w:val="Compact"/>
              <w:jc w:val="left"/>
            </w:pPr>
            <w:r>
              <w:t xml:space="preserve">1</w:t>
            </w:r>
          </w:p>
        </w:tc>
        <w:tc>
          <w:tcPr/>
          <w:p>
            <w:pPr>
              <w:pStyle w:val="Compact"/>
              <w:jc w:val="left"/>
            </w:pPr>
            <w:r>
              <w:t xml:space="preserve">Senior</w:t>
            </w:r>
            <w:r>
              <w:t xml:space="preserve"> </w:t>
            </w:r>
            <w:r>
              <w:t xml:space="preserve">Business Consultant</w:t>
            </w:r>
            <w:r>
              <w:t xml:space="preserve"> </w:t>
            </w:r>
            <w:r>
              <w:t xml:space="preserve">— Strategic Planning &amp; Market Entry Advisory in</w:t>
            </w:r>
            <w:r>
              <w:t xml:space="preserve"> </w:t>
            </w:r>
            <w:r>
              <w:t xml:space="preserve">Qatar Doha</w:t>
            </w:r>
          </w:p>
        </w:tc>
        <w:tc>
          <w:tcPr/>
          <w:p>
            <w:pPr>
              <w:pStyle w:val="Compact"/>
              <w:jc w:val="left"/>
            </w:pPr>
            <w:r>
              <w:t xml:space="preserve">6 Months</w:t>
            </w:r>
          </w:p>
        </w:tc>
        <w:tc>
          <w:tcPr/>
          <w:p>
            <w:pPr>
              <w:pStyle w:val="Compact"/>
              <w:jc w:val="left"/>
            </w:pPr>
            <w:r>
              <w:t xml:space="preserve">25,000</w:t>
            </w:r>
          </w:p>
        </w:tc>
        <w:tc>
          <w:tcPr/>
          <w:p>
            <w:pPr>
              <w:pStyle w:val="Compact"/>
              <w:jc w:val="left"/>
            </w:pPr>
            <w:r>
              <w:t xml:space="preserve">6</w:t>
            </w:r>
          </w:p>
        </w:tc>
        <w:tc>
          <w:tcPr/>
          <w:p>
            <w:pPr>
              <w:pStyle w:val="Compact"/>
              <w:jc w:val="left"/>
            </w:pPr>
            <w:r>
              <w:t xml:space="preserve">150,000.00</w:t>
            </w:r>
          </w:p>
        </w:tc>
        <w:tc>
          <w:tcPr/>
          <w:p>
            <w:pPr>
              <w:pStyle w:val="Compact"/>
              <w:jc w:val="left"/>
            </w:pPr>
            <w:r>
              <w:t xml:space="preserve">22,500.00</w:t>
            </w:r>
          </w:p>
        </w:tc>
      </w:tr>
      <w:tr>
        <w:tc>
          <w:tcPr/>
          <w:p>
            <w:pPr>
              <w:pStyle w:val="Compact"/>
              <w:jc w:val="left"/>
            </w:pPr>
            <w:r>
              <w:t xml:space="preserve">2</w:t>
            </w:r>
          </w:p>
        </w:tc>
        <w:tc>
          <w:tcPr/>
          <w:p>
            <w:pPr>
              <w:pStyle w:val="Compact"/>
              <w:jc w:val="left"/>
            </w:pPr>
            <w:r>
              <w:t xml:space="preserve">Operational Efficiency Audit &amp; Process Re-engineering by</w:t>
            </w:r>
            <w:r>
              <w:t xml:space="preserve"> </w:t>
            </w:r>
            <w:r>
              <w:t xml:space="preserve">Business Consultant</w:t>
            </w:r>
            <w:r>
              <w:t xml:space="preserve"> </w:t>
            </w:r>
            <w:r>
              <w:t xml:space="preserve">Team</w:t>
            </w:r>
          </w:p>
        </w:tc>
        <w:tc>
          <w:tcPr/>
          <w:p>
            <w:pPr>
              <w:pStyle w:val="Compact"/>
              <w:jc w:val="left"/>
            </w:pPr>
            <w:r>
              <w:t xml:space="preserve">3 Months</w:t>
            </w:r>
          </w:p>
        </w:tc>
        <w:tc>
          <w:tcPr/>
          <w:p>
            <w:pPr>
              <w:pStyle w:val="Compact"/>
              <w:jc w:val="left"/>
            </w:pPr>
            <w:r>
              <w:t xml:space="preserve">18,000</w:t>
            </w:r>
          </w:p>
        </w:tc>
        <w:tc>
          <w:tcPr/>
          <w:p>
            <w:pPr>
              <w:pStyle w:val="Compact"/>
              <w:jc w:val="left"/>
            </w:pPr>
            <w:r>
              <w:t xml:space="preserve">3</w:t>
            </w:r>
          </w:p>
        </w:tc>
        <w:tc>
          <w:tcPr/>
          <w:p>
            <w:pPr>
              <w:pStyle w:val="Compact"/>
              <w:jc w:val="left"/>
            </w:pPr>
            <w:r>
              <w:t xml:space="preserve">54,000.00</w:t>
            </w:r>
          </w:p>
        </w:tc>
        <w:tc>
          <w:tcPr/>
          <w:p>
            <w:pPr>
              <w:pStyle w:val="Compact"/>
              <w:jc w:val="left"/>
            </w:pPr>
            <w:r>
              <w:t xml:space="preserve">8,100.00</w:t>
            </w:r>
          </w:p>
        </w:tc>
      </w:tr>
      <w:tr>
        <w:tc>
          <w:tcPr/>
          <w:p>
            <w:pPr>
              <w:pStyle w:val="Compact"/>
              <w:jc w:val="left"/>
            </w:pPr>
            <w:r>
              <w:t xml:space="preserve">3</w:t>
            </w:r>
          </w:p>
        </w:tc>
        <w:tc>
          <w:tcPr/>
          <w:p>
            <w:pPr>
              <w:pStyle w:val="Compact"/>
              <w:jc w:val="left"/>
            </w:pPr>
            <w:r>
              <w:t xml:space="preserve">Qatar Doha Market Intelligence Report &amp; Competitive Landscape Analysis</w:t>
            </w:r>
          </w:p>
        </w:tc>
        <w:tc>
          <w:tcPr/>
          <w:p>
            <w:pPr>
              <w:pStyle w:val="Compact"/>
              <w:jc w:val="left"/>
            </w:pPr>
            <w:r>
              <w:t xml:space="preserve">1 Month</w:t>
            </w:r>
          </w:p>
        </w:tc>
        <w:tc>
          <w:tcPr/>
          <w:p>
            <w:pPr>
              <w:pStyle w:val="Compact"/>
              <w:jc w:val="left"/>
            </w:pPr>
            <w:r>
              <w:t xml:space="preserve">12,000</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1,800.00</w:t>
            </w:r>
          </w:p>
        </w:tc>
      </w:tr>
      <w:tr>
        <w:tc>
          <w:tcPr/>
          <w:p>
            <w:pPr>
              <w:pStyle w:val="Compact"/>
              <w:jc w:val="left"/>
            </w:pPr>
            <w:r>
              <w:t xml:space="preserve">4</w:t>
            </w:r>
          </w:p>
        </w:tc>
        <w:tc>
          <w:tcPr/>
          <w:p>
            <w:pPr>
              <w:pStyle w:val="Compact"/>
              <w:jc w:val="left"/>
            </w:pPr>
            <w:r>
              <w:t xml:space="preserve">Regulatory Compliance Advisory — Qatar Commercial Law &amp; QFC Regulations</w:t>
            </w:r>
          </w:p>
        </w:tc>
        <w:tc>
          <w:tcPr/>
          <w:p>
            <w:pPr>
              <w:pStyle w:val="Compact"/>
              <w:jc w:val="left"/>
            </w:pPr>
            <w:r>
              <w:t xml:space="preserve">2 Months</w:t>
            </w:r>
          </w:p>
        </w:tc>
        <w:tc>
          <w:tcPr/>
          <w:p>
            <w:pPr>
              <w:pStyle w:val="Compact"/>
              <w:jc w:val="left"/>
            </w:pPr>
            <w:r>
              <w:t xml:space="preserve">10,000</w:t>
            </w:r>
          </w:p>
        </w:tc>
        <w:tc>
          <w:tcPr/>
          <w:p>
            <w:pPr>
              <w:pStyle w:val="Compact"/>
              <w:jc w:val="left"/>
            </w:pPr>
            <w:r>
              <w:t xml:space="preserve">2</w:t>
            </w:r>
          </w:p>
        </w:tc>
        <w:tc>
          <w:tcPr/>
          <w:p>
            <w:pPr>
              <w:pStyle w:val="Compact"/>
              <w:jc w:val="left"/>
            </w:pPr>
            <w:r>
              <w:t xml:space="preserve">20,000.00</w:t>
            </w:r>
          </w:p>
        </w:tc>
        <w:tc>
          <w:tcPr/>
          <w:p>
            <w:pPr>
              <w:pStyle w:val="Compact"/>
              <w:jc w:val="left"/>
            </w:pPr>
            <w:r>
              <w:t xml:space="preserve">3,000.00</w:t>
            </w:r>
          </w:p>
        </w:tc>
      </w:tr>
      <w:tr>
        <w:tc>
          <w:tcPr/>
          <w:p>
            <w:pPr>
              <w:pStyle w:val="Compact"/>
              <w:jc w:val="left"/>
            </w:pPr>
            <w:r>
              <w:t xml:space="preserve">5</w:t>
            </w:r>
          </w:p>
        </w:tc>
        <w:tc>
          <w:tcPr/>
          <w:p>
            <w:pPr>
              <w:pStyle w:val="Compact"/>
              <w:jc w:val="left"/>
            </w:pPr>
            <w:r>
              <w:t xml:space="preserve">On-Site Workshops &amp; Stakeholder Training Sessions in</w:t>
            </w:r>
            <w:r>
              <w:t xml:space="preserve"> </w:t>
            </w:r>
            <w:r>
              <w:t xml:space="preserve">Qatar Doha</w:t>
            </w:r>
            <w:r>
              <w:t xml:space="preserve"> </w:t>
            </w:r>
            <w:r>
              <w:t xml:space="preserve">(4 sessions)</w:t>
            </w:r>
          </w:p>
        </w:tc>
        <w:tc>
          <w:tcPr/>
          <w:p>
            <w:pPr>
              <w:pStyle w:val="Compact"/>
              <w:jc w:val="left"/>
            </w:pPr>
            <w:r>
              <w:t xml:space="preserve">As Scheduled</w:t>
            </w:r>
          </w:p>
        </w:tc>
        <w:tc>
          <w:tcPr/>
          <w:p>
            <w:pPr>
              <w:pStyle w:val="Compact"/>
              <w:jc w:val="left"/>
            </w:pPr>
            <w:r>
              <w:t xml:space="preserve">5,000</w:t>
            </w:r>
          </w:p>
        </w:tc>
        <w:tc>
          <w:tcPr/>
          <w:p>
            <w:pPr>
              <w:pStyle w:val="Compact"/>
              <w:jc w:val="left"/>
            </w:pPr>
            <w:r>
              <w:t xml:space="preserve">4</w:t>
            </w:r>
          </w:p>
        </w:tc>
        <w:tc>
          <w:tcPr/>
          <w:p>
            <w:pPr>
              <w:pStyle w:val="Compact"/>
              <w:jc w:val="left"/>
            </w:pPr>
            <w:r>
              <w:t xml:space="preserve">20,000.00</w:t>
            </w:r>
          </w:p>
        </w:tc>
        <w:tc>
          <w:tcPr/>
          <w:p>
            <w:pPr>
              <w:pStyle w:val="Compact"/>
              <w:jc w:val="left"/>
            </w:pPr>
            <w:r>
              <w:t xml:space="preserve">3,000.00</w:t>
            </w:r>
          </w:p>
        </w:tc>
      </w:tr>
      <w:tr>
        <w:tc>
          <w:tcPr>
            <w:gridSpan w:val="5"/>
          </w:tcPr>
          <w:p>
            <w:pPr>
              <w:pStyle w:val="Compact"/>
              <w:jc w:val="right"/>
            </w:pPr>
            <w:r>
              <w:t xml:space="preserve">Subtotal</w:t>
            </w:r>
          </w:p>
        </w:tc>
        <w:tc>
          <w:tcPr/>
          <w:p>
            <w:pPr>
              <w:pStyle w:val="Compact"/>
              <w:jc w:val="left"/>
            </w:pPr>
            <w:r>
              <w:t xml:space="preserve">256,000.00</w:t>
            </w:r>
          </w:p>
        </w:tc>
        <w:tc>
          <w:tcPr/>
          <w:p>
            <w:pPr>
              <w:pStyle w:val="Compact"/>
              <w:jc w:val="left"/>
            </w:pPr>
            <w:r>
              <w:t xml:space="preserve">38,400.00</w:t>
            </w:r>
          </w:p>
        </w:tc>
      </w:tr>
      <w:tr>
        <w:tc>
          <w:tcPr>
            <w:gridSpan w:val="5"/>
          </w:tcPr>
          <w:p>
            <w:pPr>
              <w:pStyle w:val="Compact"/>
              <w:jc w:val="right"/>
            </w:pPr>
            <w:r>
              <w:t xml:space="preserve">TOTAL AMOUNT DUE (QAR)</w:t>
            </w:r>
          </w:p>
        </w:tc>
        <w:tc>
          <w:tcPr>
            <w:gridSpan w:val="2"/>
          </w:tcPr>
          <w:p>
            <w:pPr>
              <w:pStyle w:val="Compact"/>
              <w:jc w:val="right"/>
            </w:pPr>
            <w:r>
              <w:t xml:space="preserve">294,400.00</w:t>
            </w:r>
          </w:p>
        </w:tc>
      </w:tr>
    </w:tbl>
    <w:p>
      <w:pPr>
        <w:pStyle w:val="BodyText"/>
      </w:pPr>
      <w:r>
        <w:t xml:space="preserve">TERMS AND CONDITIONS OF THIS PURCHASE ORDER</w:t>
      </w:r>
    </w:p>
    <w:p>
      <w:pPr>
        <w:numPr>
          <w:ilvl w:val="0"/>
          <w:numId w:val="1001"/>
        </w:numPr>
        <w:pStyle w:val="Compact"/>
      </w:pPr>
      <w:r>
        <w:rPr>
          <w:bCs/>
          <w:b/>
        </w:rPr>
        <w:t xml:space="preserve">Acceptance:</w:t>
      </w:r>
      <w:r>
        <w:t xml:space="preserve"> </w:t>
      </w:r>
      <w:r>
        <w:t xml:space="preserve">This</w:t>
      </w:r>
      <w:r>
        <w:t xml:space="preserve"> </w:t>
      </w:r>
      <w:r>
        <w:t xml:space="preserve">Purchase Order</w:t>
      </w:r>
      <w:r>
        <w:t xml:space="preserve"> </w:t>
      </w:r>
      <w:r>
        <w:t xml:space="preserve">shall become binding upon written acceptance by the Supplier. The Supplier must confirm acceptance within five (5) business days of receipt of this document. Failure to respond within this period shall constitute a declination of this</w:t>
      </w:r>
      <w:r>
        <w:t xml:space="preserve"> </w:t>
      </w:r>
      <w:r>
        <w:t xml:space="preserve">Purchase Order</w:t>
      </w:r>
      <w:r>
        <w:t xml:space="preserve">.</w:t>
      </w:r>
    </w:p>
    <w:p>
      <w:pPr>
        <w:numPr>
          <w:ilvl w:val="0"/>
          <w:numId w:val="1001"/>
        </w:numPr>
        <w:pStyle w:val="Compact"/>
      </w:pPr>
      <w:r>
        <w:rPr>
          <w:bCs/>
          <w:b/>
        </w:rPr>
        <w:t xml:space="preserve">Scope of Services:</w:t>
      </w:r>
      <w:r>
        <w:t xml:space="preserve"> </w:t>
      </w:r>
      <w:r>
        <w:t xml:space="preserve">The</w:t>
      </w:r>
      <w:r>
        <w:t xml:space="preserve"> </w:t>
      </w:r>
      <w:r>
        <w:t xml:space="preserve">Business Consultant</w:t>
      </w:r>
      <w:r>
        <w:t xml:space="preserve"> </w:t>
      </w:r>
      <w:r>
        <w:t xml:space="preserve">engaged under this</w:t>
      </w:r>
      <w:r>
        <w:t xml:space="preserve"> </w:t>
      </w:r>
      <w:r>
        <w:t xml:space="preserve">Purchase Order</w:t>
      </w:r>
      <w:r>
        <w:t xml:space="preserve"> </w:t>
      </w:r>
      <w:r>
        <w:t xml:space="preserve">shall provide all advisory, analytical, and strategic services as described in the line items above. The</w:t>
      </w:r>
      <w:r>
        <w:t xml:space="preserve"> </w:t>
      </w:r>
      <w:r>
        <w:t xml:space="preserve">Business Consultant</w:t>
      </w:r>
      <w:r>
        <w:t xml:space="preserve"> </w:t>
      </w:r>
      <w:r>
        <w:t xml:space="preserve">shall maintain professional independence and shall not be deemed an employee of the Buyer. All work shall be conducted primarily at the Buyer's offices in</w:t>
      </w:r>
      <w:r>
        <w:t xml:space="preserve"> </w:t>
      </w:r>
      <w:r>
        <w:t xml:space="preserve">Qatar Doha</w:t>
      </w:r>
      <w:r>
        <w:t xml:space="preserve"> </w:t>
      </w:r>
      <w:r>
        <w:t xml:space="preserve">or at mutually agreed locations within the State of Qatar.</w:t>
      </w:r>
    </w:p>
    <w:p>
      <w:pPr>
        <w:numPr>
          <w:ilvl w:val="0"/>
          <w:numId w:val="1001"/>
        </w:numPr>
        <w:pStyle w:val="Compact"/>
      </w:pPr>
      <w:r>
        <w:rPr>
          <w:bCs/>
          <w:b/>
        </w:rPr>
        <w:t xml:space="preserve">Payment:</w:t>
      </w:r>
      <w:r>
        <w:t xml:space="preserve"> </w:t>
      </w:r>
      <w:r>
        <w:t xml:space="preserve">Payment shall be made within thirty (30) calendar days from the date of a valid invoice submitted by the Supplier. Invoices must reference this</w:t>
      </w:r>
      <w:r>
        <w:t xml:space="preserve"> </w:t>
      </w:r>
      <w:r>
        <w:t xml:space="preserve">Purchase Order</w:t>
      </w:r>
      <w:r>
        <w:t xml:space="preserve"> </w:t>
      </w:r>
      <w:r>
        <w:t xml:space="preserve">number (PO-QD-2025-04872) and include the Supplier's VAT registration number. Payment shall be made via bank transfer to the account designated by the Supplier in Qatar Doha.</w:t>
      </w:r>
    </w:p>
    <w:p>
      <w:pPr>
        <w:numPr>
          <w:ilvl w:val="0"/>
          <w:numId w:val="1001"/>
        </w:numPr>
        <w:pStyle w:val="Compact"/>
      </w:pPr>
      <w:r>
        <w:rPr>
          <w:bCs/>
          <w:b/>
        </w:rPr>
        <w:t xml:space="preserve">Confidentiality:</w:t>
      </w:r>
      <w:r>
        <w:t xml:space="preserve"> </w:t>
      </w:r>
      <w:r>
        <w:t xml:space="preserve">The</w:t>
      </w:r>
      <w:r>
        <w:t xml:space="preserve"> </w:t>
      </w:r>
      <w:r>
        <w:t xml:space="preserve">Business Consultant</w:t>
      </w:r>
      <w:r>
        <w:t xml:space="preserve"> </w:t>
      </w:r>
      <w:r>
        <w:t xml:space="preserve">shall treat all proprietary information, trade secrets, and business data of the Buyer as strictly confidential. This obligation shall survive the termination of this</w:t>
      </w:r>
      <w:r>
        <w:t xml:space="preserve"> </w:t>
      </w:r>
      <w:r>
        <w:t xml:space="preserve">Purchase Order</w:t>
      </w:r>
      <w:r>
        <w:t xml:space="preserve"> </w:t>
      </w:r>
      <w:r>
        <w:t xml:space="preserve">for a period of three (3) years. The</w:t>
      </w:r>
      <w:r>
        <w:t xml:space="preserve"> </w:t>
      </w:r>
      <w:r>
        <w:t xml:space="preserve">Business Consultant</w:t>
      </w:r>
      <w:r>
        <w:t xml:space="preserve"> </w:t>
      </w:r>
      <w:r>
        <w:t xml:space="preserve">shall not disclose any information related to the Buyer's operations in</w:t>
      </w:r>
      <w:r>
        <w:t xml:space="preserve"> </w:t>
      </w:r>
      <w:r>
        <w:t xml:space="preserve">Qatar Doha</w:t>
      </w:r>
      <w:r>
        <w:t xml:space="preserve"> </w:t>
      </w:r>
      <w:r>
        <w:t xml:space="preserve">to any third party without prior written consent.</w:t>
      </w:r>
    </w:p>
    <w:p>
      <w:pPr>
        <w:numPr>
          <w:ilvl w:val="0"/>
          <w:numId w:val="1001"/>
        </w:numPr>
        <w:pStyle w:val="Compact"/>
      </w:pPr>
      <w:r>
        <w:rPr>
          <w:bCs/>
          <w:b/>
        </w:rPr>
        <w:t xml:space="preserve">Intellectual Property:</w:t>
      </w:r>
      <w:r>
        <w:t xml:space="preserve"> </w:t>
      </w:r>
      <w:r>
        <w:t xml:space="preserve">All reports, analyses, strategies, and deliverables produced by the</w:t>
      </w:r>
      <w:r>
        <w:t xml:space="preserve"> </w:t>
      </w:r>
      <w:r>
        <w:t xml:space="preserve">Business Consultant</w:t>
      </w:r>
      <w:r>
        <w:t xml:space="preserve"> </w:t>
      </w:r>
      <w:r>
        <w:t xml:space="preserve">specifically for the Buyer under this</w:t>
      </w:r>
      <w:r>
        <w:t xml:space="preserve"> </w:t>
      </w:r>
      <w:r>
        <w:t xml:space="preserve">Purchase Order</w:t>
      </w:r>
      <w:r>
        <w:t xml:space="preserve"> </w:t>
      </w:r>
      <w:r>
        <w:t xml:space="preserve">shall be the exclusive property of the Buyer upon full payment. The</w:t>
      </w:r>
      <w:r>
        <w:t xml:space="preserve"> </w:t>
      </w:r>
      <w:r>
        <w:t xml:space="preserve">Business Consultant</w:t>
      </w:r>
      <w:r>
        <w:t xml:space="preserve"> </w:t>
      </w:r>
      <w:r>
        <w:t xml:space="preserve">retains ownership of pre-existing methodologies and frameworks.</w:t>
      </w:r>
    </w:p>
    <w:p>
      <w:pPr>
        <w:numPr>
          <w:ilvl w:val="0"/>
          <w:numId w:val="1001"/>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with thirty (30) days' written notice. In the event of termination, the Buyer shall pay for all services rendered up to the effective date of termination. The</w:t>
      </w:r>
      <w:r>
        <w:t xml:space="preserve"> </w:t>
      </w:r>
      <w:r>
        <w:t xml:space="preserve">Business Consultant</w:t>
      </w:r>
      <w:r>
        <w:t xml:space="preserve"> </w:t>
      </w:r>
      <w:r>
        <w:t xml:space="preserve">shall deliver all completed and in-progress work products to the Buyer within fourteen (14) days of termination.</w:t>
      </w:r>
    </w:p>
    <w:p>
      <w:pPr>
        <w:numPr>
          <w:ilvl w:val="0"/>
          <w:numId w:val="1001"/>
        </w:numPr>
        <w:pStyle w:val="Compact"/>
      </w:pPr>
      <w:r>
        <w:rPr>
          <w:bCs/>
          <w:b/>
        </w:rPr>
        <w:t xml:space="preserve">Governing Law:</w:t>
      </w:r>
      <w:r>
        <w:t xml:space="preserve"> </w:t>
      </w:r>
      <w:r>
        <w:t xml:space="preserve">This</w:t>
      </w:r>
      <w:r>
        <w:t xml:space="preserve"> </w:t>
      </w:r>
      <w:r>
        <w:t xml:space="preserve">Purchase Order</w:t>
      </w:r>
      <w:r>
        <w:t xml:space="preserve"> </w:t>
      </w:r>
      <w:r>
        <w:t xml:space="preserve">shall be governed by and construed in accordance with the laws of the State of Qatar. Any disputes arising from this</w:t>
      </w:r>
      <w:r>
        <w:t xml:space="preserve"> </w:t>
      </w:r>
      <w:r>
        <w:t xml:space="preserve">Purchase Order</w:t>
      </w:r>
      <w:r>
        <w:t xml:space="preserve"> </w:t>
      </w:r>
      <w:r>
        <w:t xml:space="preserve">shall be subject to the exclusive jurisdiction of the competent courts in</w:t>
      </w:r>
      <w:r>
        <w:t xml:space="preserve"> </w:t>
      </w:r>
      <w:r>
        <w:t xml:space="preserve">Qatar Doha</w:t>
      </w:r>
      <w:r>
        <w:t xml:space="preserve">.</w:t>
      </w:r>
    </w:p>
    <w:p>
      <w:pPr>
        <w:numPr>
          <w:ilvl w:val="0"/>
          <w:numId w:val="1001"/>
        </w:numPr>
        <w:pStyle w:val="Compact"/>
      </w:pPr>
      <w:r>
        <w:rPr>
          <w:bCs/>
          <w:b/>
        </w:rPr>
        <w:t xml:space="preserve">Force Majeure:</w:t>
      </w:r>
      <w:r>
        <w:t xml:space="preserve"> </w:t>
      </w:r>
      <w:r>
        <w:t xml:space="preserve">Neither party shall be liable for failure to perform obligations under this</w:t>
      </w:r>
      <w:r>
        <w:t xml:space="preserve"> </w:t>
      </w:r>
      <w:r>
        <w:t xml:space="preserve">Purchase Order</w:t>
      </w:r>
      <w:r>
        <w:t xml:space="preserve"> </w:t>
      </w:r>
      <w:r>
        <w:t xml:space="preserve">due to events beyond reasonable control, including but not limited to natural disasters, government actions, or public health emergencies affecting</w:t>
      </w:r>
      <w:r>
        <w:t xml:space="preserve"> </w:t>
      </w:r>
      <w:r>
        <w:t xml:space="preserve">Qatar Doha</w:t>
      </w:r>
      <w:r>
        <w:t xml:space="preserve">.</w:t>
      </w:r>
    </w:p>
    <w:p>
      <w:pPr>
        <w:numPr>
          <w:ilvl w:val="0"/>
          <w:numId w:val="1001"/>
        </w:numPr>
        <w:pStyle w:val="Compact"/>
      </w:pPr>
      <w:r>
        <w:rPr>
          <w:bCs/>
          <w:b/>
        </w:rPr>
        <w:t xml:space="preserve">Compliance:</w:t>
      </w:r>
      <w:r>
        <w:t xml:space="preserve"> </w:t>
      </w:r>
      <w:r>
        <w:t xml:space="preserve">The</w:t>
      </w:r>
      <w:r>
        <w:t xml:space="preserve"> </w:t>
      </w:r>
      <w:r>
        <w:t xml:space="preserve">Business Consultant</w:t>
      </w:r>
      <w:r>
        <w:t xml:space="preserve"> </w:t>
      </w:r>
      <w:r>
        <w:t xml:space="preserve">shall comply with all applicable laws and regulations of the State of Qatar, including but not limited to the Qatar Labour Law, Qatar Commercial Companies Law, and regulations issued by the Qatar Financial Centre (QFC) where applicable.</w:t>
      </w:r>
    </w:p>
    <w:p>
      <w:pPr>
        <w:numPr>
          <w:ilvl w:val="0"/>
          <w:numId w:val="1001"/>
        </w:numPr>
        <w:pStyle w:val="Compact"/>
      </w:pPr>
      <w:r>
        <w:rPr>
          <w:bCs/>
          <w:b/>
        </w:rPr>
        <w:t xml:space="preserve">Entire Agreement:</w:t>
      </w:r>
      <w:r>
        <w:t xml:space="preserve"> </w:t>
      </w:r>
      <w:r>
        <w:t xml:space="preserve">This</w:t>
      </w:r>
      <w:r>
        <w:t xml:space="preserve"> </w:t>
      </w:r>
      <w:r>
        <w:t xml:space="preserve">Purchase Order</w:t>
      </w:r>
      <w:r>
        <w:t xml:space="preserve">, together with any attached Statements of Work, constitutes the entire agreement between the parties regarding the engagement of the</w:t>
      </w:r>
      <w:r>
        <w:t xml:space="preserve"> </w:t>
      </w:r>
      <w:r>
        <w:t xml:space="preserve">Business Consultant</w:t>
      </w:r>
      <w:r>
        <w:t xml:space="preserve"> </w:t>
      </w:r>
      <w:r>
        <w:t xml:space="preserve">for services in</w:t>
      </w:r>
      <w:r>
        <w:t xml:space="preserve"> </w:t>
      </w:r>
      <w:r>
        <w:t xml:space="preserve">Qatar Doha</w:t>
      </w:r>
      <w:r>
        <w:t xml:space="preserve"> </w:t>
      </w:r>
      <w:r>
        <w:t xml:space="preserve">and supersedes all prior negotiations, representations, and agreements.</w:t>
      </w:r>
    </w:p>
    <w:p>
      <w:pPr>
        <w:pStyle w:val="FirstParagraph"/>
      </w:pPr>
      <w:r>
        <w:t xml:space="preserve">AUTHORIZATION &amp; SIGNATURES</w:t>
      </w:r>
    </w:p>
    <w:p>
      <w:pPr>
        <w:pStyle w:val="BodyText"/>
      </w:pPr>
      <w:r>
        <w:rPr>
          <w:bCs/>
          <w:b/>
        </w:rPr>
        <w:t xml:space="preserve">For and on behalf of the Buyer:</w:t>
      </w:r>
      <w:r>
        <w:br/>
      </w:r>
      <w:r>
        <w:t xml:space="preserve">Gulf Horizon Development LLC</w:t>
      </w:r>
    </w:p>
    <w:p>
      <w:pPr>
        <w:pStyle w:val="BodyText"/>
      </w:pPr>
      <w:r>
        <w:rPr>
          <w:bCs/>
          <w:b/>
        </w:rPr>
        <w:t xml:space="preserve">Name:</w:t>
      </w:r>
      <w:r>
        <w:t xml:space="preserve"> </w:t>
      </w:r>
      <w:r>
        <w:t xml:space="preserve">Mr. Khalid Al-Mansoori</w:t>
      </w:r>
      <w:r>
        <w:br/>
      </w:r>
      <w:r>
        <w:rPr>
          <w:bCs/>
          <w:b/>
        </w:rPr>
        <w:t xml:space="preserve">Title:</w:t>
      </w:r>
      <w:r>
        <w:t xml:space="preserve"> </w:t>
      </w:r>
      <w:r>
        <w:t xml:space="preserve">Chief Procurement Officer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w:t>
      </w:r>
    </w:p>
    <w:p>
      <w:pPr>
        <w:pStyle w:val="BodyText"/>
      </w:pPr>
      <w:r>
        <w:rPr>
          <w:bCs/>
          <w:b/>
        </w:rPr>
        <w:t xml:space="preserve">For and on behalf of the Supplier:</w:t>
      </w:r>
      <w:r>
        <w:br/>
      </w:r>
      <w:r>
        <w:t xml:space="preserve">Meridian Strategic Advisory FZ-LLC</w:t>
      </w:r>
    </w:p>
    <w:p>
      <w:pPr>
        <w:pStyle w:val="BodyText"/>
      </w:pPr>
      <w:r>
        <w:rPr>
          <w:bCs/>
          <w:b/>
        </w:rPr>
        <w:t xml:space="preserve">Name:</w:t>
      </w:r>
      <w:r>
        <w:t xml:space="preserve"> </w:t>
      </w:r>
      <w:r>
        <w:t xml:space="preserve">Ms. Sarah Al-Thani</w:t>
      </w:r>
      <w:r>
        <w:br/>
      </w:r>
      <w:r>
        <w:rPr>
          <w:bCs/>
          <w:b/>
        </w:rPr>
        <w:t xml:space="preserve">Title:</w:t>
      </w:r>
      <w:r>
        <w:t xml:space="preserve"> </w:t>
      </w:r>
      <w:r>
        <w:t xml:space="preserve">Managing Director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w:t>
      </w:r>
    </w:p>
    <w:p>
      <w:pPr>
        <w:pStyle w:val="BodyText"/>
      </w:pPr>
      <w:r>
        <w:t xml:space="preserve">This</w:t>
      </w:r>
      <w:r>
        <w:t xml:space="preserve"> </w:t>
      </w:r>
      <w:r>
        <w:t xml:space="preserve">Purchase Order</w:t>
      </w:r>
      <w:r>
        <w:t xml:space="preserve"> </w:t>
      </w:r>
      <w:r>
        <w:t xml:space="preserve">(PO-QD-2025-04872) is issued for the engagement of a</w:t>
      </w:r>
      <w:r>
        <w:t xml:space="preserve"> </w:t>
      </w:r>
      <w:r>
        <w:t xml:space="preserve">Business Consultant</w:t>
      </w:r>
      <w:r>
        <w:t xml:space="preserve"> </w:t>
      </w:r>
      <w:r>
        <w:t xml:space="preserve">to provide professional advisory services in</w:t>
      </w:r>
      <w:r>
        <w:t xml:space="preserve"> </w:t>
      </w:r>
      <w:r>
        <w:t xml:space="preserve">Qatar Doha</w:t>
      </w:r>
      <w:r>
        <w:t xml:space="preserve">. This document is valid only when signed and stamped by both parties. Unauthorized reproduction or distribution of this</w:t>
      </w:r>
      <w:r>
        <w:t xml:space="preserve"> </w:t>
      </w:r>
      <w:r>
        <w:t xml:space="preserve">Purchase Order</w:t>
      </w:r>
      <w:r>
        <w:t xml:space="preserve"> </w:t>
      </w:r>
      <w:r>
        <w:t xml:space="preserve">is strictly prohibited. © 2025 Gulf Horizon Development LLC.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Business Consultant Services - Qatar Doha</dc:title>
  <dc:creator/>
  <dc:language>en</dc:language>
  <cp:keywords/>
  <dcterms:created xsi:type="dcterms:W3CDTF">2026-10-10T08:38:28Z</dcterms:created>
  <dcterms:modified xsi:type="dcterms:W3CDTF">2026-10-10T08:38:28Z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