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Business</w:t>
      </w:r>
      <w:r>
        <w:t xml:space="preserve"> </w:t>
      </w:r>
      <w:r>
        <w:t xml:space="preserve">Consultant</w:t>
      </w:r>
      <w:r>
        <w:t xml:space="preserve"> </w:t>
      </w:r>
      <w:r>
        <w:t xml:space="preserve">Services</w:t>
      </w:r>
      <w:r>
        <w:t xml:space="preserve"> </w:t>
      </w:r>
      <w:r>
        <w:t xml:space="preserve">-</w:t>
      </w:r>
      <w:r>
        <w:t xml:space="preserve"> </w:t>
      </w:r>
      <w:r>
        <w:t xml:space="preserve">Russia</w:t>
      </w:r>
      <w:r>
        <w:t xml:space="preserve"> </w:t>
      </w:r>
      <w:r>
        <w:t xml:space="preserve">Saint</w:t>
      </w:r>
      <w:r>
        <w:t xml:space="preserve"> </w:t>
      </w:r>
      <w:r>
        <w:t xml:space="preserve">Petersburg</w:t>
      </w:r>
    </w:p>
    <w:bookmarkStart w:id="20" w:name="purchase-order"/>
    <w:p>
      <w:pPr>
        <w:pStyle w:val="Heading1"/>
      </w:pPr>
      <w:r>
        <w:t xml:space="preserve">PURCHASE ORDER</w:t>
      </w:r>
    </w:p>
    <w:p>
      <w:pPr>
        <w:pStyle w:val="FirstParagraph"/>
      </w:pPr>
      <w:r>
        <w:t xml:space="preserve">Business Consultant Services — Russia Saint Petersburg</w:t>
      </w:r>
    </w:p>
    <w:p>
      <w:pPr>
        <w:pStyle w:val="BodyText"/>
      </w:pPr>
      <w:r>
        <w:t xml:space="preserve">PO No. RSP-2025-04782</w:t>
      </w:r>
    </w:p>
    <w:bookmarkEnd w:id="20"/>
    <w:bookmarkStart w:id="21" w:name="purchase-order-identification"/>
    <w:p>
      <w:pPr>
        <w:pStyle w:val="Heading2"/>
      </w:pPr>
      <w:r>
        <w:t xml:space="preserve">1. Purchase Order Identification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Purchase Order Number</w:t>
            </w:r>
          </w:p>
        </w:tc>
        <w:tc>
          <w:tcPr/>
          <w:p>
            <w:pPr>
              <w:pStyle w:val="Compact"/>
              <w:jc w:val="left"/>
            </w:pPr>
            <w:r>
              <w:t xml:space="preserve">RSP-2025-04782</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Required Delivery Date</w:t>
            </w:r>
          </w:p>
        </w:tc>
        <w:tc>
          <w:tcPr/>
          <w:p>
            <w:pPr>
              <w:pStyle w:val="Compact"/>
              <w:jc w:val="left"/>
            </w:pPr>
            <w:r>
              <w:t xml:space="preserve">01 September 2025</w:t>
            </w:r>
          </w:p>
        </w:tc>
      </w:tr>
      <w:tr>
        <w:tc>
          <w:tcPr/>
          <w:p>
            <w:pPr>
              <w:pStyle w:val="Compact"/>
              <w:jc w:val="left"/>
            </w:pPr>
            <w:r>
              <w:t xml:space="preserve">Place of Performance</w:t>
            </w:r>
          </w:p>
        </w:tc>
        <w:tc>
          <w:tcPr/>
          <w:p>
            <w:pPr>
              <w:pStyle w:val="Compact"/>
              <w:jc w:val="left"/>
            </w:pPr>
            <w:r>
              <w:t xml:space="preserve">Russia Saint Petersburg, 190000, Nevsky Prospekt 120, Office 45</w:t>
            </w:r>
          </w:p>
        </w:tc>
      </w:tr>
      <w:tr>
        <w:tc>
          <w:tcPr/>
          <w:p>
            <w:pPr>
              <w:pStyle w:val="Compact"/>
              <w:jc w:val="left"/>
            </w:pPr>
            <w:r>
              <w:t xml:space="preserve">Currency</w:t>
            </w:r>
          </w:p>
        </w:tc>
        <w:tc>
          <w:tcPr/>
          <w:p>
            <w:pPr>
              <w:pStyle w:val="Compact"/>
              <w:jc w:val="left"/>
            </w:pPr>
            <w:r>
              <w:t xml:space="preserve">Russian Ruble (RUB)</w:t>
            </w:r>
          </w:p>
        </w:tc>
      </w:tr>
      <w:tr>
        <w:tc>
          <w:tcPr/>
          <w:p>
            <w:pPr>
              <w:pStyle w:val="Compact"/>
              <w:jc w:val="left"/>
            </w:pPr>
            <w:r>
              <w:t xml:space="preserve">Payment Terms</w:t>
            </w:r>
          </w:p>
        </w:tc>
        <w:tc>
          <w:tcPr/>
          <w:p>
            <w:pPr>
              <w:pStyle w:val="Compact"/>
              <w:jc w:val="left"/>
            </w:pPr>
            <w:r>
              <w:t xml:space="preserve">Net 30 days from invoice date</w:t>
            </w:r>
          </w:p>
        </w:tc>
      </w:tr>
    </w:tbl>
    <w:bookmarkEnd w:id="21"/>
    <w:bookmarkStart w:id="22" w:name="purchasing-entity-buyer"/>
    <w:p>
      <w:pPr>
        <w:pStyle w:val="Heading2"/>
      </w:pPr>
      <w:r>
        <w:t xml:space="preserve">2. Purchasing Entity (Buyer)</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Company Name</w:t>
            </w:r>
          </w:p>
        </w:tc>
        <w:tc>
          <w:tcPr/>
          <w:p>
            <w:pPr>
              <w:pStyle w:val="Compact"/>
              <w:jc w:val="left"/>
            </w:pPr>
            <w:r>
              <w:t xml:space="preserve">Northwind Industrial Holdings LLC</w:t>
            </w:r>
          </w:p>
        </w:tc>
      </w:tr>
      <w:tr>
        <w:tc>
          <w:tcPr/>
          <w:p>
            <w:pPr>
              <w:pStyle w:val="Compact"/>
              <w:jc w:val="left"/>
            </w:pPr>
            <w:r>
              <w:t xml:space="preserve">Registered Address</w:t>
            </w:r>
          </w:p>
        </w:tc>
        <w:tc>
          <w:tcPr/>
          <w:p>
            <w:pPr>
              <w:pStyle w:val="Compact"/>
              <w:jc w:val="left"/>
            </w:pPr>
            <w:r>
              <w:t xml:space="preserve">191002, Russia Saint Petersburg, Liteyny Prospekt 24, Building 3, Floor 7</w:t>
            </w:r>
          </w:p>
        </w:tc>
      </w:tr>
      <w:tr>
        <w:tc>
          <w:tcPr/>
          <w:p>
            <w:pPr>
              <w:pStyle w:val="Compact"/>
              <w:jc w:val="left"/>
            </w:pPr>
            <w:r>
              <w:t xml:space="preserve">INN / KPP</w:t>
            </w:r>
          </w:p>
        </w:tc>
        <w:tc>
          <w:tcPr/>
          <w:p>
            <w:pPr>
              <w:pStyle w:val="Compact"/>
              <w:jc w:val="left"/>
            </w:pPr>
            <w:r>
              <w:t xml:space="preserve">7805432109 / 780501001</w:t>
            </w:r>
          </w:p>
        </w:tc>
      </w:tr>
      <w:tr>
        <w:tc>
          <w:tcPr/>
          <w:p>
            <w:pPr>
              <w:pStyle w:val="Compact"/>
              <w:jc w:val="left"/>
            </w:pPr>
            <w:r>
              <w:t xml:space="preserve">Authorized Representative</w:t>
            </w:r>
          </w:p>
        </w:tc>
        <w:tc>
          <w:tcPr/>
          <w:p>
            <w:pPr>
              <w:pStyle w:val="Compact"/>
              <w:jc w:val="left"/>
            </w:pPr>
            <w:r>
              <w:t xml:space="preserve">Mr. Alexander V. Petrov, Chief Financial Officer</w:t>
            </w:r>
          </w:p>
        </w:tc>
      </w:tr>
      <w:tr>
        <w:tc>
          <w:tcPr/>
          <w:p>
            <w:pPr>
              <w:pStyle w:val="Compact"/>
              <w:jc w:val="left"/>
            </w:pPr>
            <w:r>
              <w:t xml:space="preserve">Contact Email</w:t>
            </w:r>
          </w:p>
        </w:tc>
        <w:tc>
          <w:tcPr/>
          <w:p>
            <w:pPr>
              <w:pStyle w:val="Compact"/>
              <w:jc w:val="left"/>
            </w:pPr>
            <w:r>
              <w:t xml:space="preserve">procurement@northwind-industrial.ru</w:t>
            </w:r>
          </w:p>
        </w:tc>
      </w:tr>
      <w:tr>
        <w:tc>
          <w:tcPr/>
          <w:p>
            <w:pPr>
              <w:pStyle w:val="Compact"/>
              <w:jc w:val="left"/>
            </w:pPr>
            <w:r>
              <w:t xml:space="preserve">Telephone</w:t>
            </w:r>
          </w:p>
        </w:tc>
        <w:tc>
          <w:tcPr/>
          <w:p>
            <w:pPr>
              <w:pStyle w:val="Compact"/>
              <w:jc w:val="left"/>
            </w:pPr>
            <w:r>
              <w:t xml:space="preserve">+7 (812) 335-47-82</w:t>
            </w:r>
          </w:p>
        </w:tc>
      </w:tr>
    </w:tbl>
    <w:bookmarkEnd w:id="22"/>
    <w:bookmarkStart w:id="23" w:name="supplier-service-provider-seller"/>
    <w:p>
      <w:pPr>
        <w:pStyle w:val="Heading2"/>
      </w:pPr>
      <w:r>
        <w:t xml:space="preserve">3. Supplier / Service Provider (Seller)</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Company Name</w:t>
            </w:r>
          </w:p>
        </w:tc>
        <w:tc>
          <w:tcPr/>
          <w:p>
            <w:pPr>
              <w:pStyle w:val="Compact"/>
              <w:jc w:val="left"/>
            </w:pPr>
            <w:r>
              <w:t xml:space="preserve">Strategic Advisory Partners LLC</w:t>
            </w:r>
          </w:p>
        </w:tc>
      </w:tr>
      <w:tr>
        <w:tc>
          <w:tcPr/>
          <w:p>
            <w:pPr>
              <w:pStyle w:val="Compact"/>
              <w:jc w:val="left"/>
            </w:pPr>
            <w:r>
              <w:t xml:space="preserve">Registered Address</w:t>
            </w:r>
          </w:p>
        </w:tc>
        <w:tc>
          <w:tcPr/>
          <w:p>
            <w:pPr>
              <w:pStyle w:val="Compact"/>
              <w:jc w:val="left"/>
            </w:pPr>
            <w:r>
              <w:t xml:space="preserve">197198, Russia Saint Petersburg, Moskovsky Prospekt 150, Business Center "Aurora", Suite 212</w:t>
            </w:r>
          </w:p>
        </w:tc>
      </w:tr>
      <w:tr>
        <w:tc>
          <w:tcPr/>
          <w:p>
            <w:pPr>
              <w:pStyle w:val="Compact"/>
              <w:jc w:val="left"/>
            </w:pPr>
            <w:r>
              <w:t xml:space="preserve">INN / KPP</w:t>
            </w:r>
          </w:p>
        </w:tc>
        <w:tc>
          <w:tcPr/>
          <w:p>
            <w:pPr>
              <w:pStyle w:val="Compact"/>
              <w:jc w:val="left"/>
            </w:pPr>
            <w:r>
              <w:t xml:space="preserve">7811987654 / 781101001</w:t>
            </w:r>
          </w:p>
        </w:tc>
      </w:tr>
      <w:tr>
        <w:tc>
          <w:tcPr/>
          <w:p>
            <w:pPr>
              <w:pStyle w:val="Compact"/>
              <w:jc w:val="left"/>
            </w:pPr>
            <w:r>
              <w:t xml:space="preserve">Authorized Representative</w:t>
            </w:r>
          </w:p>
        </w:tc>
        <w:tc>
          <w:tcPr/>
          <w:p>
            <w:pPr>
              <w:pStyle w:val="Compact"/>
              <w:jc w:val="left"/>
            </w:pPr>
            <w:r>
              <w:t xml:space="preserve">Ms. Elena S. Volkova, Managing Director</w:t>
            </w:r>
          </w:p>
        </w:tc>
      </w:tr>
      <w:tr>
        <w:tc>
          <w:tcPr/>
          <w:p>
            <w:pPr>
              <w:pStyle w:val="Compact"/>
              <w:jc w:val="left"/>
            </w:pPr>
            <w:r>
              <w:t xml:space="preserve">Contact Email</w:t>
            </w:r>
          </w:p>
        </w:tc>
        <w:tc>
          <w:tcPr/>
          <w:p>
            <w:pPr>
              <w:pStyle w:val="Compact"/>
              <w:jc w:val="left"/>
            </w:pPr>
            <w:r>
              <w:t xml:space="preserve">contracts@strategic-advisory.ru</w:t>
            </w:r>
          </w:p>
        </w:tc>
      </w:tr>
      <w:tr>
        <w:tc>
          <w:tcPr/>
          <w:p>
            <w:pPr>
              <w:pStyle w:val="Compact"/>
              <w:jc w:val="left"/>
            </w:pPr>
            <w:r>
              <w:t xml:space="preserve">Telephone</w:t>
            </w:r>
          </w:p>
        </w:tc>
        <w:tc>
          <w:tcPr/>
          <w:p>
            <w:pPr>
              <w:pStyle w:val="Compact"/>
              <w:jc w:val="left"/>
            </w:pPr>
            <w:r>
              <w:t xml:space="preserve">+7 (812) 640-22-15</w:t>
            </w:r>
          </w:p>
        </w:tc>
      </w:tr>
    </w:tbl>
    <w:bookmarkEnd w:id="23"/>
    <w:bookmarkStart w:id="24" w:name="X38c04614c6852dc42671939c78d168ce144be86"/>
    <w:p>
      <w:pPr>
        <w:pStyle w:val="Heading2"/>
      </w:pPr>
      <w:r>
        <w:t xml:space="preserve">4. Scope of Services — Business Consultant Engagement</w:t>
      </w:r>
    </w:p>
    <w:p>
      <w:pPr>
        <w:pStyle w:val="FirstParagraph"/>
      </w:pPr>
      <w:r>
        <w:t xml:space="preserve">This Purchase Order is issued to formally authorize the procurement of professional</w:t>
      </w:r>
      <w:r>
        <w:t xml:space="preserve"> </w:t>
      </w:r>
      <w:r>
        <w:t xml:space="preserve">Business Consultant</w:t>
      </w:r>
      <w:r>
        <w:t xml:space="preserve"> </w:t>
      </w:r>
      <w:r>
        <w:t xml:space="preserve">services to be rendered in</w:t>
      </w:r>
      <w:r>
        <w:t xml:space="preserve"> </w:t>
      </w:r>
      <w:r>
        <w:t xml:space="preserve">Russia Saint Petersburg</w:t>
      </w:r>
      <w:r>
        <w:t xml:space="preserve"> </w:t>
      </w:r>
      <w:r>
        <w:t xml:space="preserve">for a period of twelve (12) months commencing 01 September 2025. The Business Consultant shall provide comprehensive strategic advisory, operational process optimization, financial modeling, and market-entry analysis tailored to the industrial manufacturing sector operating within the Saint Petersburg metropolitan region.</w:t>
      </w:r>
    </w:p>
    <w:p>
      <w:pPr>
        <w:pStyle w:val="BodyText"/>
      </w:pPr>
      <w:r>
        <w:t xml:space="preserve">The Business Consultant is expected to conduct on-site assessments at the buyer's facilities located in Russia Saint Petersburg no fewer than three (3) times per month, with all deliverables to be submitted in both Russian and English. The consultant shall also coordinate with local regulatory authorities in Saint Petersburg to ensure full compliance with the Federal Law on Corporate Governance and applicable municipal business regulations.</w:t>
      </w:r>
    </w:p>
    <w:bookmarkEnd w:id="24"/>
    <w:bookmarkStart w:id="25" w:name="itemized-services-and-pricing"/>
    <w:p>
      <w:pPr>
        <w:pStyle w:val="Heading2"/>
      </w:pPr>
      <w:r>
        <w:t xml:space="preserve">5. Itemized Services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Business Consultant Service</w:t>
            </w:r>
          </w:p>
        </w:tc>
        <w:tc>
          <w:tcPr/>
          <w:p>
            <w:pPr>
              <w:pStyle w:val="Compact"/>
              <w:jc w:val="left"/>
            </w:pPr>
            <w:r>
              <w:t xml:space="preserve">Duration</w:t>
            </w:r>
          </w:p>
        </w:tc>
        <w:tc>
          <w:tcPr/>
          <w:p>
            <w:pPr>
              <w:pStyle w:val="Compact"/>
              <w:jc w:val="left"/>
            </w:pPr>
            <w:r>
              <w:t xml:space="preserve">Unit Rate (RUB)</w:t>
            </w:r>
          </w:p>
        </w:tc>
        <w:tc>
          <w:tcPr/>
          <w:p>
            <w:pPr>
              <w:pStyle w:val="Compact"/>
              <w:jc w:val="left"/>
            </w:pPr>
            <w:r>
              <w:t xml:space="preserve">Amount (RUB)</w:t>
            </w:r>
          </w:p>
        </w:tc>
      </w:tr>
      <w:tr>
        <w:tc>
          <w:tcPr/>
          <w:p>
            <w:pPr>
              <w:pStyle w:val="Compact"/>
              <w:jc w:val="left"/>
            </w:pPr>
            <w:r>
              <w:t xml:space="preserve">01</w:t>
            </w:r>
          </w:p>
        </w:tc>
        <w:tc>
          <w:tcPr/>
          <w:p>
            <w:pPr>
              <w:pStyle w:val="Compact"/>
              <w:jc w:val="left"/>
            </w:pPr>
            <w:r>
              <w:t xml:space="preserve">Strategic Business Planning &amp; Market Analysis for Russia Saint Petersburg industrial sector</w:t>
            </w:r>
          </w:p>
        </w:tc>
        <w:tc>
          <w:tcPr/>
          <w:p>
            <w:pPr>
              <w:pStyle w:val="Compact"/>
              <w:jc w:val="left"/>
            </w:pPr>
            <w:r>
              <w:t xml:space="preserve">12 months</w:t>
            </w:r>
          </w:p>
        </w:tc>
        <w:tc>
          <w:tcPr/>
          <w:p>
            <w:pPr>
              <w:pStyle w:val="Compact"/>
              <w:jc w:val="left"/>
            </w:pPr>
            <w:r>
              <w:t xml:space="preserve">185,000</w:t>
            </w:r>
          </w:p>
        </w:tc>
        <w:tc>
          <w:tcPr/>
          <w:p>
            <w:pPr>
              <w:pStyle w:val="Compact"/>
              <w:jc w:val="left"/>
            </w:pPr>
            <w:r>
              <w:t xml:space="preserve">2,220,000</w:t>
            </w:r>
          </w:p>
        </w:tc>
      </w:tr>
      <w:tr>
        <w:tc>
          <w:tcPr/>
          <w:p>
            <w:pPr>
              <w:pStyle w:val="Compact"/>
              <w:jc w:val="left"/>
            </w:pPr>
            <w:r>
              <w:t xml:space="preserve">02</w:t>
            </w:r>
          </w:p>
        </w:tc>
        <w:tc>
          <w:tcPr/>
          <w:p>
            <w:pPr>
              <w:pStyle w:val="Compact"/>
              <w:jc w:val="left"/>
            </w:pPr>
            <w:r>
              <w:t xml:space="preserve">Operational Process Auditing &amp; Lean Manufacturing Implementation</w:t>
            </w:r>
          </w:p>
        </w:tc>
        <w:tc>
          <w:tcPr/>
          <w:p>
            <w:pPr>
              <w:pStyle w:val="Compact"/>
              <w:jc w:val="left"/>
            </w:pPr>
            <w:r>
              <w:t xml:space="preserve">6 months</w:t>
            </w:r>
          </w:p>
        </w:tc>
        <w:tc>
          <w:tcPr/>
          <w:p>
            <w:pPr>
              <w:pStyle w:val="Compact"/>
              <w:jc w:val="left"/>
            </w:pPr>
            <w:r>
              <w:t xml:space="preserve">142,000</w:t>
            </w:r>
          </w:p>
        </w:tc>
        <w:tc>
          <w:tcPr/>
          <w:p>
            <w:pPr>
              <w:pStyle w:val="Compact"/>
              <w:jc w:val="left"/>
            </w:pPr>
            <w:r>
              <w:t xml:space="preserve">852,000</w:t>
            </w:r>
          </w:p>
        </w:tc>
      </w:tr>
      <w:tr>
        <w:tc>
          <w:tcPr/>
          <w:p>
            <w:pPr>
              <w:pStyle w:val="Compact"/>
              <w:jc w:val="left"/>
            </w:pPr>
            <w:r>
              <w:t xml:space="preserve">03</w:t>
            </w:r>
          </w:p>
        </w:tc>
        <w:tc>
          <w:tcPr/>
          <w:p>
            <w:pPr>
              <w:pStyle w:val="Compact"/>
              <w:jc w:val="left"/>
            </w:pPr>
            <w:r>
              <w:t xml:space="preserve">Financial Restructuring &amp; Cash Flow Optimization Advisory</w:t>
            </w:r>
          </w:p>
        </w:tc>
        <w:tc>
          <w:tcPr/>
          <w:p>
            <w:pPr>
              <w:pStyle w:val="Compact"/>
              <w:jc w:val="left"/>
            </w:pPr>
            <w:r>
              <w:t xml:space="preserve">4 months</w:t>
            </w:r>
          </w:p>
        </w:tc>
        <w:tc>
          <w:tcPr/>
          <w:p>
            <w:pPr>
              <w:pStyle w:val="Compact"/>
              <w:jc w:val="left"/>
            </w:pPr>
            <w:r>
              <w:t xml:space="preserve">168,000</w:t>
            </w:r>
          </w:p>
        </w:tc>
        <w:tc>
          <w:tcPr/>
          <w:p>
            <w:pPr>
              <w:pStyle w:val="Compact"/>
              <w:jc w:val="left"/>
            </w:pPr>
            <w:r>
              <w:t xml:space="preserve">672,000</w:t>
            </w:r>
          </w:p>
        </w:tc>
      </w:tr>
      <w:tr>
        <w:tc>
          <w:tcPr/>
          <w:p>
            <w:pPr>
              <w:pStyle w:val="Compact"/>
              <w:jc w:val="left"/>
            </w:pPr>
            <w:r>
              <w:t xml:space="preserve">04</w:t>
            </w:r>
          </w:p>
        </w:tc>
        <w:tc>
          <w:tcPr/>
          <w:p>
            <w:pPr>
              <w:pStyle w:val="Compact"/>
              <w:jc w:val="left"/>
            </w:pPr>
            <w:r>
              <w:t xml:space="preserve">Regulatory Compliance Consulting (Saint Petersburg Municipal &amp; Federal)</w:t>
            </w:r>
          </w:p>
        </w:tc>
        <w:tc>
          <w:tcPr/>
          <w:p>
            <w:pPr>
              <w:pStyle w:val="Compact"/>
              <w:jc w:val="left"/>
            </w:pPr>
            <w:r>
              <w:t xml:space="preserve">12 months</w:t>
            </w:r>
          </w:p>
        </w:tc>
        <w:tc>
          <w:tcPr/>
          <w:p>
            <w:pPr>
              <w:pStyle w:val="Compact"/>
              <w:jc w:val="left"/>
            </w:pPr>
            <w:r>
              <w:t xml:space="preserve">95,000</w:t>
            </w:r>
          </w:p>
        </w:tc>
        <w:tc>
          <w:tcPr/>
          <w:p>
            <w:pPr>
              <w:pStyle w:val="Compact"/>
              <w:jc w:val="left"/>
            </w:pPr>
            <w:r>
              <w:t xml:space="preserve">1,140,000</w:t>
            </w:r>
          </w:p>
        </w:tc>
      </w:tr>
      <w:tr>
        <w:tc>
          <w:tcPr/>
          <w:p>
            <w:pPr>
              <w:pStyle w:val="Compact"/>
              <w:jc w:val="left"/>
            </w:pPr>
            <w:r>
              <w:t xml:space="preserve">05</w:t>
            </w:r>
          </w:p>
        </w:tc>
        <w:tc>
          <w:tcPr/>
          <w:p>
            <w:pPr>
              <w:pStyle w:val="Compact"/>
              <w:jc w:val="left"/>
            </w:pPr>
            <w:r>
              <w:t xml:space="preserve">Executive Training &amp; Leadership Development Workshops (on-site, Russia Saint Petersburg)</w:t>
            </w:r>
          </w:p>
        </w:tc>
        <w:tc>
          <w:tcPr/>
          <w:p>
            <w:pPr>
              <w:pStyle w:val="Compact"/>
              <w:jc w:val="left"/>
            </w:pPr>
            <w:r>
              <w:t xml:space="preserve">8 sessions</w:t>
            </w:r>
          </w:p>
        </w:tc>
        <w:tc>
          <w:tcPr/>
          <w:p>
            <w:pPr>
              <w:pStyle w:val="Compact"/>
              <w:jc w:val="left"/>
            </w:pPr>
            <w:r>
              <w:t xml:space="preserve">78,000</w:t>
            </w:r>
          </w:p>
        </w:tc>
        <w:tc>
          <w:tcPr/>
          <w:p>
            <w:pPr>
              <w:pStyle w:val="Compact"/>
              <w:jc w:val="left"/>
            </w:pPr>
            <w:r>
              <w:t xml:space="preserve">624,000</w:t>
            </w:r>
          </w:p>
        </w:tc>
      </w:tr>
      <w:tr>
        <w:tc>
          <w:tcPr/>
          <w:p>
            <w:pPr>
              <w:pStyle w:val="Compact"/>
              <w:jc w:val="left"/>
            </w:pPr>
            <w:r>
              <w:t xml:space="preserve">06</w:t>
            </w:r>
          </w:p>
        </w:tc>
        <w:tc>
          <w:tcPr/>
          <w:p>
            <w:pPr>
              <w:pStyle w:val="Compact"/>
              <w:jc w:val="left"/>
            </w:pPr>
            <w:r>
              <w:t xml:space="preserve">Quarterly Performance Reporting &amp; KPI Dashboard Development</w:t>
            </w:r>
          </w:p>
        </w:tc>
        <w:tc>
          <w:tcPr/>
          <w:p>
            <w:pPr>
              <w:pStyle w:val="Compact"/>
              <w:jc w:val="left"/>
            </w:pPr>
            <w:r>
              <w:t xml:space="preserve">4 quarters</w:t>
            </w:r>
          </w:p>
        </w:tc>
        <w:tc>
          <w:tcPr/>
          <w:p>
            <w:pPr>
              <w:pStyle w:val="Compact"/>
              <w:jc w:val="left"/>
            </w:pPr>
            <w:r>
              <w:t xml:space="preserve">55,000</w:t>
            </w:r>
          </w:p>
        </w:tc>
        <w:tc>
          <w:tcPr/>
          <w:p>
            <w:pPr>
              <w:pStyle w:val="Compact"/>
              <w:jc w:val="left"/>
            </w:pPr>
            <w:r>
              <w:t xml:space="preserve">220,000</w:t>
            </w:r>
          </w:p>
        </w:tc>
      </w:tr>
      <w:tr>
        <w:tc>
          <w:tcPr>
            <w:gridSpan w:val="4"/>
          </w:tcPr>
          <w:p>
            <w:pPr>
              <w:pStyle w:val="Compact"/>
              <w:jc w:val="left"/>
            </w:pPr>
            <w:r>
              <w:t xml:space="preserve">TOTAL CONTRACT VALUE</w:t>
            </w:r>
          </w:p>
        </w:tc>
        <w:tc>
          <w:tcPr/>
          <w:p>
            <w:pPr>
              <w:pStyle w:val="Compact"/>
              <w:jc w:val="left"/>
            </w:pPr>
            <w:r>
              <w:t xml:space="preserve">5,728,000 RUB</w:t>
            </w:r>
          </w:p>
        </w:tc>
      </w:tr>
      <w:tr>
        <w:tc>
          <w:tcPr>
            <w:gridSpan w:val="4"/>
          </w:tcPr>
          <w:p>
            <w:pPr>
              <w:pStyle w:val="Compact"/>
              <w:jc w:val="left"/>
            </w:pPr>
            <w:r>
              <w:t xml:space="preserve">VAT (20%)</w:t>
            </w:r>
          </w:p>
        </w:tc>
        <w:tc>
          <w:tcPr/>
          <w:p>
            <w:pPr>
              <w:pStyle w:val="Compact"/>
              <w:jc w:val="left"/>
            </w:pPr>
            <w:r>
              <w:t xml:space="preserve">1,145,600 RUB</w:t>
            </w:r>
          </w:p>
        </w:tc>
      </w:tr>
      <w:tr>
        <w:tc>
          <w:tcPr>
            <w:gridSpan w:val="4"/>
          </w:tcPr>
          <w:p>
            <w:pPr>
              <w:pStyle w:val="Compact"/>
              <w:jc w:val="left"/>
            </w:pPr>
            <w:r>
              <w:t xml:space="preserve">GRAND TOTAL (incl. VAT)</w:t>
            </w:r>
          </w:p>
        </w:tc>
        <w:tc>
          <w:tcPr/>
          <w:p>
            <w:pPr>
              <w:pStyle w:val="Compact"/>
              <w:jc w:val="left"/>
            </w:pPr>
            <w:r>
              <w:t xml:space="preserve">6,873,600 RUB</w:t>
            </w:r>
          </w:p>
        </w:tc>
      </w:tr>
    </w:tbl>
    <w:bookmarkEnd w:id="25"/>
    <w:bookmarkStart w:id="26" w:name="terms-and-conditions"/>
    <w:p>
      <w:pPr>
        <w:pStyle w:val="Heading2"/>
      </w:pPr>
      <w:r>
        <w:t xml:space="preserve">6. Terms and Conditions</w:t>
      </w:r>
    </w:p>
    <w:p>
      <w:pPr>
        <w:numPr>
          <w:ilvl w:val="0"/>
          <w:numId w:val="1001"/>
        </w:numPr>
        <w:pStyle w:val="Compact"/>
      </w:pPr>
      <w:r>
        <w:rPr>
          <w:bCs/>
          <w:b/>
        </w:rPr>
        <w:t xml:space="preserve">6.1</w:t>
      </w:r>
      <w:r>
        <w:t xml:space="preserve"> </w:t>
      </w:r>
      <w:r>
        <w:t xml:space="preserve">This Purchase Order constitutes a binding agreement between Northwind Industrial Holdings LLC and Strategic Advisory Partners LLC for the provision of Business Consultant services in Russia Saint Petersburg.</w:t>
      </w:r>
    </w:p>
    <w:p>
      <w:pPr>
        <w:numPr>
          <w:ilvl w:val="0"/>
          <w:numId w:val="1001"/>
        </w:numPr>
        <w:pStyle w:val="Compact"/>
      </w:pPr>
      <w:r>
        <w:rPr>
          <w:bCs/>
          <w:b/>
        </w:rPr>
        <w:t xml:space="preserve">6.2</w:t>
      </w:r>
      <w:r>
        <w:t xml:space="preserve"> </w:t>
      </w:r>
      <w:r>
        <w:t xml:space="preserve">The Business Consultant shall maintain full professional liability insurance with a minimum coverage of 10,000,000 RUB throughout the engagement period.</w:t>
      </w:r>
    </w:p>
    <w:p>
      <w:pPr>
        <w:numPr>
          <w:ilvl w:val="0"/>
          <w:numId w:val="1001"/>
        </w:numPr>
        <w:pStyle w:val="Compact"/>
      </w:pPr>
      <w:r>
        <w:rPr>
          <w:bCs/>
          <w:b/>
        </w:rPr>
        <w:t xml:space="preserve">6.3</w:t>
      </w:r>
      <w:r>
        <w:t xml:space="preserve"> </w:t>
      </w:r>
      <w:r>
        <w:t xml:space="preserve">All intellectual property, reports, and strategic documents produced by the Business Consultant during the term of this Purchase Order shall remain the exclusive property of the buyer.</w:t>
      </w:r>
    </w:p>
    <w:p>
      <w:pPr>
        <w:numPr>
          <w:ilvl w:val="0"/>
          <w:numId w:val="1001"/>
        </w:numPr>
        <w:pStyle w:val="Compact"/>
      </w:pPr>
      <w:r>
        <w:rPr>
          <w:bCs/>
          <w:b/>
        </w:rPr>
        <w:t xml:space="preserve">6.4</w:t>
      </w:r>
      <w:r>
        <w:t xml:space="preserve"> </w:t>
      </w:r>
      <w:r>
        <w:t xml:space="preserve">Payment shall be processed via bank transfer to the supplier's account registered in Russia Saint Petersburg within thirty (30) calendar days of receipt of a valid invoice.</w:t>
      </w:r>
    </w:p>
    <w:p>
      <w:pPr>
        <w:numPr>
          <w:ilvl w:val="0"/>
          <w:numId w:val="1001"/>
        </w:numPr>
        <w:pStyle w:val="Compact"/>
      </w:pPr>
      <w:r>
        <w:rPr>
          <w:bCs/>
          <w:b/>
        </w:rPr>
        <w:t xml:space="preserve">6.5</w:t>
      </w:r>
      <w:r>
        <w:t xml:space="preserve"> </w:t>
      </w:r>
      <w:r>
        <w:t xml:space="preserve">Either party may terminate this Purchase Order with sixty (60) days written notice. In the event of early termination, the Business Consultant shall be compensated for services rendered up to the termination date.</w:t>
      </w:r>
    </w:p>
    <w:p>
      <w:pPr>
        <w:numPr>
          <w:ilvl w:val="0"/>
          <w:numId w:val="1001"/>
        </w:numPr>
        <w:pStyle w:val="Compact"/>
      </w:pPr>
      <w:r>
        <w:rPr>
          <w:bCs/>
          <w:b/>
        </w:rPr>
        <w:t xml:space="preserve">6.6</w:t>
      </w:r>
      <w:r>
        <w:t xml:space="preserve"> </w:t>
      </w:r>
      <w:r>
        <w:t xml:space="preserve">All disputes arising from this Purchase Order shall be resolved through arbitration at the Arbitration Court of Saint Petersburg, Russia, in accordance with the applicable procedural rules.</w:t>
      </w:r>
    </w:p>
    <w:p>
      <w:pPr>
        <w:numPr>
          <w:ilvl w:val="0"/>
          <w:numId w:val="1001"/>
        </w:numPr>
        <w:pStyle w:val="Compact"/>
      </w:pPr>
      <w:r>
        <w:rPr>
          <w:bCs/>
          <w:b/>
        </w:rPr>
        <w:t xml:space="preserve">6.7</w:t>
      </w:r>
      <w:r>
        <w:t xml:space="preserve"> </w:t>
      </w:r>
      <w:r>
        <w:t xml:space="preserve">The Business Consultant shall comply with all data protection requirements under Federal Law No. 152-FZ "On Personal Data" when handling any confidential business information.</w:t>
      </w:r>
    </w:p>
    <w:p>
      <w:pPr>
        <w:numPr>
          <w:ilvl w:val="0"/>
          <w:numId w:val="1001"/>
        </w:numPr>
        <w:pStyle w:val="Compact"/>
      </w:pPr>
      <w:r>
        <w:rPr>
          <w:bCs/>
          <w:b/>
        </w:rPr>
        <w:t xml:space="preserve">6.8</w:t>
      </w:r>
      <w:r>
        <w:t xml:space="preserve"> </w:t>
      </w:r>
      <w:r>
        <w:t xml:space="preserve">This Purchase Order is governed by the civil law of the Russian Federation, specifically the Civil Code of the Russian Federation, Parts I and II.</w:t>
      </w:r>
    </w:p>
    <w:bookmarkEnd w:id="26"/>
    <w:bookmarkStart w:id="27" w:name="acceptance-and-authorization"/>
    <w:p>
      <w:pPr>
        <w:pStyle w:val="Heading2"/>
      </w:pPr>
      <w:r>
        <w:t xml:space="preserve">7. Acceptance and Authorization</w:t>
      </w:r>
    </w:p>
    <w:p>
      <w:pPr>
        <w:pStyle w:val="FirstParagraph"/>
      </w:pPr>
      <w:r>
        <w:t xml:space="preserve">By signing below, both parties acknowledge and agree to all terms, conditions, and service specifications outlined in this Purchase Order for the engagement of a Business Consultant in Russia Saint Petersburg. This document is valid upon execution by authorized representatives of both entities.</w:t>
      </w:r>
    </w:p>
    <w:bookmarkEnd w:id="27"/>
    <w:p>
      <w:pPr>
        <w:pStyle w:val="BodyText"/>
      </w:pPr>
      <w:r>
        <w:rPr>
          <w:bCs/>
          <w:b/>
        </w:rPr>
        <w:t xml:space="preserve">For and on behalf of the Buyer:</w:t>
      </w:r>
    </w:p>
    <w:p>
      <w:pPr>
        <w:pStyle w:val="BodyText"/>
      </w:pPr>
      <w:r>
        <w:t xml:space="preserve">Northwind Industrial Holdings LLC</w:t>
      </w:r>
    </w:p>
    <w:p>
      <w:pPr>
        <w:pStyle w:val="BodyText"/>
      </w:pPr>
      <w:r>
        <w:t xml:space="preserve">Mr. Alexander V. Petrov</w:t>
      </w:r>
      <w:r>
        <w:br/>
      </w:r>
      <w:r>
        <w:t xml:space="preserve">Chief Financial Officer</w:t>
      </w:r>
      <w:r>
        <w:br/>
      </w:r>
      <w:r>
        <w:t xml:space="preserve">Date: _______________</w:t>
      </w:r>
    </w:p>
    <w:p>
      <w:pPr>
        <w:pStyle w:val="BodyText"/>
      </w:pPr>
      <w:r>
        <w:rPr>
          <w:bCs/>
          <w:b/>
        </w:rPr>
        <w:t xml:space="preserve">For and on behalf of the Seller:</w:t>
      </w:r>
    </w:p>
    <w:p>
      <w:pPr>
        <w:pStyle w:val="BodyText"/>
      </w:pPr>
      <w:r>
        <w:t xml:space="preserve">Strategic Advisory Partners LLC</w:t>
      </w:r>
    </w:p>
    <w:p>
      <w:pPr>
        <w:pStyle w:val="BodyText"/>
      </w:pPr>
      <w:r>
        <w:t xml:space="preserve">Ms. Elena S. Volkova</w:t>
      </w:r>
      <w:r>
        <w:br/>
      </w:r>
      <w:r>
        <w:t xml:space="preserve">Managing Director</w:t>
      </w:r>
      <w:r>
        <w:br/>
      </w:r>
      <w:r>
        <w:t xml:space="preserve">Date: _______________</w:t>
      </w:r>
    </w:p>
    <w:p>
      <w:pPr>
        <w:pStyle w:val="BodyText"/>
      </w:pPr>
      <w:r>
        <w:t xml:space="preserve">This Purchase Order (No. RSP-2025-04782) was prepared and issued in Russia Saint Petersburg. Document reference: NWH-PROC-2025-04782. For inquiries, contact the Procurement Department at procurement@northwind-industrial.ru. This document is valid for a period of ninety (90) days from the date of issue.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Business Consultant Services - Russia Saint Petersburg</dc:title>
  <dc:creator/>
  <dc:language>en</dc:language>
  <cp:keywords/>
  <dcterms:created xsi:type="dcterms:W3CDTF">2026-10-10T05:54:33Z</dcterms:created>
  <dcterms:modified xsi:type="dcterms:W3CDTF">2026-10-10T05:54:33Z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