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Business Consultant Services — Turkey Istanbul</w:t>
      </w:r>
    </w:p>
    <w:bookmarkEnd w:id="20"/>
    <w:p>
      <w:pPr>
        <w:pStyle w:val="BodyText"/>
      </w:pPr>
      <w:r>
        <w:rPr>
          <w:bCs/>
          <w:b/>
        </w:rPr>
        <w:t xml:space="preserve">Purchase Order No.:</w:t>
      </w:r>
      <w:r>
        <w:t xml:space="preserve"> </w:t>
      </w:r>
      <w:r>
        <w:t xml:space="preserve">PO-TR-IST-2025-04871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Anatolia Enterprise Solutions A.Ş.</w:t>
            </w:r>
          </w:p>
        </w:tc>
        <w:tc>
          <w:tcPr/>
          <w:p>
            <w:pPr>
              <w:pStyle w:val="Compact"/>
              <w:jc w:val="left"/>
            </w:pPr>
            <w:r>
              <w:rPr>
                <w:bCs/>
                <w:b/>
              </w:rPr>
              <w:t xml:space="preserve">Tax ID (VKN):</w:t>
            </w:r>
            <w:r>
              <w:t xml:space="preserve"> </w:t>
            </w:r>
            <w:r>
              <w:t xml:space="preserve">1234567890</w:t>
            </w:r>
          </w:p>
        </w:tc>
      </w:tr>
      <w:tr>
        <w:tc>
          <w:tcPr/>
          <w:p>
            <w:pPr>
              <w:pStyle w:val="Compact"/>
              <w:jc w:val="left"/>
            </w:pPr>
            <w:r>
              <w:rPr>
                <w:bCs/>
                <w:b/>
              </w:rPr>
              <w:t xml:space="preserve">Address:</w:t>
            </w:r>
            <w:r>
              <w:t xml:space="preserve"> </w:t>
            </w:r>
            <w:r>
              <w:t xml:space="preserve">Levent Business District, Büyükdere Caddesi No. 255, 34394 Şişli, Istanbul, Turkey</w:t>
            </w:r>
          </w:p>
        </w:tc>
        <w:tc>
          <w:tcPr/>
          <w:p>
            <w:pPr>
              <w:pStyle w:val="Compact"/>
              <w:jc w:val="left"/>
            </w:pPr>
            <w:r>
              <w:rPr>
                <w:bCs/>
                <w:b/>
              </w:rPr>
              <w:t xml:space="preserve">Contact:</w:t>
            </w:r>
            <w:r>
              <w:t xml:space="preserve"> </w:t>
            </w:r>
            <w:r>
              <w:t xml:space="preserve">procurement@anatoliaes.com</w:t>
            </w:r>
          </w:p>
        </w:tc>
      </w:tr>
      <w:tr>
        <w:tc>
          <w:tcPr/>
          <w:p>
            <w:pPr>
              <w:pStyle w:val="Compact"/>
              <w:jc w:val="left"/>
            </w:pPr>
            <w:r>
              <w:rPr>
                <w:bCs/>
                <w:b/>
              </w:rPr>
              <w:t xml:space="preserve">Authorized Signatory:</w:t>
            </w:r>
            <w:r>
              <w:t xml:space="preserve"> </w:t>
            </w:r>
            <w:r>
              <w:t xml:space="preserve">Murat Kaya, Chief Financial Officer</w:t>
            </w:r>
          </w:p>
        </w:tc>
        <w:tc>
          <w:tcPr/>
          <w:p>
            <w:pPr>
              <w:pStyle w:val="Compact"/>
              <w:jc w:val="left"/>
            </w:pPr>
            <w:r>
              <w:rPr>
                <w:bCs/>
                <w:b/>
              </w:rPr>
              <w:t xml:space="preserve">Phone:</w:t>
            </w:r>
            <w:r>
              <w:t xml:space="preserve"> </w:t>
            </w:r>
            <w:r>
              <w:t xml:space="preserve">+90 212 555 0147</w:t>
            </w:r>
          </w:p>
        </w:tc>
      </w:tr>
    </w:tbl>
    <w:p>
      <w:pPr>
        <w:pStyle w:val="BodyText"/>
      </w:pPr>
      <w:r>
        <w:t xml:space="preserve">Supplier / Business Consultant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Consultant Name:</w:t>
            </w:r>
            <w:r>
              <w:t xml:space="preserve"> </w:t>
            </w:r>
            <w:r>
              <w:t xml:space="preserve">Elif Demirci, Senior Business Consultant</w:t>
            </w:r>
          </w:p>
        </w:tc>
        <w:tc>
          <w:tcPr/>
          <w:p>
            <w:pPr>
              <w:pStyle w:val="Compact"/>
              <w:jc w:val="left"/>
            </w:pPr>
            <w:r>
              <w:rPr>
                <w:bCs/>
                <w:b/>
              </w:rPr>
              <w:t xml:space="preserve">Consultancy Firm:</w:t>
            </w:r>
            <w:r>
              <w:t xml:space="preserve"> </w:t>
            </w:r>
            <w:r>
              <w:t xml:space="preserve">Marmara Strategic Advisory Ltd.</w:t>
            </w:r>
          </w:p>
        </w:tc>
      </w:tr>
      <w:tr>
        <w:tc>
          <w:tcPr/>
          <w:p>
            <w:pPr>
              <w:pStyle w:val="Compact"/>
              <w:jc w:val="left"/>
            </w:pPr>
            <w:r>
              <w:rPr>
                <w:bCs/>
                <w:b/>
              </w:rPr>
              <w:t xml:space="preserve">Address:</w:t>
            </w:r>
            <w:r>
              <w:t xml:space="preserve"> </w:t>
            </w:r>
            <w:r>
              <w:t xml:space="preserve">Maslak Corporate Park, Büyükdere Caddesi No. 180, 34450 Sarıyer, Istanbul, Turkey</w:t>
            </w:r>
          </w:p>
        </w:tc>
        <w:tc>
          <w:tcPr/>
          <w:p>
            <w:pPr>
              <w:pStyle w:val="Compact"/>
              <w:jc w:val="left"/>
            </w:pPr>
            <w:r>
              <w:rPr>
                <w:bCs/>
                <w:b/>
              </w:rPr>
              <w:t xml:space="preserve">Tax ID (VKN):</w:t>
            </w:r>
            <w:r>
              <w:t xml:space="preserve"> </w:t>
            </w:r>
            <w:r>
              <w:t xml:space="preserve">9876543210</w:t>
            </w:r>
          </w:p>
        </w:tc>
      </w:tr>
      <w:tr>
        <w:tc>
          <w:tcPr/>
          <w:p>
            <w:pPr>
              <w:pStyle w:val="Compact"/>
              <w:jc w:val="left"/>
            </w:pPr>
            <w:r>
              <w:rPr>
                <w:bCs/>
                <w:b/>
              </w:rPr>
              <w:t xml:space="preserve">Contact:</w:t>
            </w:r>
            <w:r>
              <w:t xml:space="preserve"> </w:t>
            </w:r>
            <w:r>
              <w:t xml:space="preserve">elif.demirci@marmaraadvisory.com</w:t>
            </w:r>
          </w:p>
        </w:tc>
        <w:tc>
          <w:tcPr/>
          <w:p>
            <w:pPr>
              <w:pStyle w:val="Compact"/>
              <w:jc w:val="left"/>
            </w:pPr>
            <w:r>
              <w:rPr>
                <w:bCs/>
                <w:b/>
              </w:rPr>
              <w:t xml:space="preserve">Phone:</w:t>
            </w:r>
            <w:r>
              <w:t xml:space="preserve"> </w:t>
            </w:r>
            <w:r>
              <w:t xml:space="preserve">+90 212 333 8821</w:t>
            </w:r>
          </w:p>
        </w:tc>
      </w:tr>
    </w:tbl>
    <w:p>
      <w:pPr>
        <w:pStyle w:val="BodyText"/>
      </w:pPr>
      <w:r>
        <w:t xml:space="preserve">Scope of Services — Business Consultant Engagement</w:t>
      </w:r>
    </w:p>
    <w:p>
      <w:pPr>
        <w:pStyle w:val="BodyText"/>
      </w:pPr>
      <w:r>
        <w:t xml:space="preserve">This Purchase Order is issued by Anatolia Enterprise Solutions A.Ş. to formally engage the services of a qualified Business Consultant operating within the Turkey Istanbul metropolitan region. The Business Consultant shall provide comprehensive strategic advisory, operational restructuring, and market-entry analysis services as detailed in the line items below. All deliverables and on-site consultations shall be conducted primarily at the Buyer's headquarters in Şişli, Istanbul, Turkey, with additional fieldwork permitted across the broader Turkey Istanbul economic zone including the Tuzla Industrial Region and the 3rd Bridge corridor.</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Strategic Business Planning &amp; Market Analysis for the Turkey Istanbul commercial sector, including competitor benchmarking and SWOT assessment</w:t>
            </w:r>
          </w:p>
        </w:tc>
        <w:tc>
          <w:tcPr/>
          <w:p>
            <w:pPr>
              <w:pStyle w:val="Compact"/>
              <w:jc w:val="left"/>
            </w:pPr>
            <w:r>
              <w:t xml:space="preserve">6 weeks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Operational Process Re-engineering &amp; Supply Chain Optimization for manufacturing facilities located in the Turkey Istanbul industrial corridor</w:t>
            </w:r>
          </w:p>
        </w:tc>
        <w:tc>
          <w:tcPr/>
          <w:p>
            <w:pPr>
              <w:pStyle w:val="Compact"/>
              <w:jc w:val="left"/>
            </w:pPr>
            <w:r>
              <w:t xml:space="preserve">8 weeks</w:t>
            </w:r>
          </w:p>
        </w:tc>
        <w:tc>
          <w:tcPr/>
          <w:p>
            <w:pPr>
              <w:pStyle w:val="Compact"/>
              <w:jc w:val="left"/>
            </w:pPr>
            <w:r>
              <w:t xml:space="preserve">52,000.00</w:t>
            </w:r>
          </w:p>
        </w:tc>
        <w:tc>
          <w:tcPr/>
          <w:p>
            <w:pPr>
              <w:pStyle w:val="Compact"/>
              <w:jc w:val="left"/>
            </w:pPr>
            <w:r>
              <w:t xml:space="preserve">416,000.00</w:t>
            </w:r>
          </w:p>
        </w:tc>
      </w:tr>
      <w:tr>
        <w:tc>
          <w:tcPr/>
          <w:p>
            <w:pPr>
              <w:pStyle w:val="Compact"/>
              <w:jc w:val="left"/>
            </w:pPr>
            <w:r>
              <w:t xml:space="preserve">03</w:t>
            </w:r>
          </w:p>
        </w:tc>
        <w:tc>
          <w:tcPr/>
          <w:p>
            <w:pPr>
              <w:pStyle w:val="Compact"/>
              <w:jc w:val="left"/>
            </w:pPr>
            <w:r>
              <w:t xml:space="preserve">Regulatory Compliance Advisory — Turkish Commercial Code, KVKK (Data Protection), and Istanbul Metropolitan Municipality licensing requirements</w:t>
            </w:r>
          </w:p>
        </w:tc>
        <w:tc>
          <w:tcPr/>
          <w:p>
            <w:pPr>
              <w:pStyle w:val="Compact"/>
              <w:jc w:val="left"/>
            </w:pPr>
            <w:r>
              <w:t xml:space="preserve">4 weeks</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04</w:t>
            </w:r>
          </w:p>
        </w:tc>
        <w:tc>
          <w:tcPr/>
          <w:p>
            <w:pPr>
              <w:pStyle w:val="Compact"/>
              <w:jc w:val="left"/>
            </w:pPr>
            <w:r>
              <w:t xml:space="preserve">Workforce Development &amp; Leadership Training Program design for 120 employees across Turkey Istanbul office locations</w:t>
            </w:r>
          </w:p>
        </w:tc>
        <w:tc>
          <w:tcPr/>
          <w:p>
            <w:pPr>
              <w:pStyle w:val="Compact"/>
              <w:jc w:val="left"/>
            </w:pPr>
            <w:r>
              <w:t xml:space="preserve">5 weeks</w:t>
            </w:r>
          </w:p>
        </w:tc>
        <w:tc>
          <w:tcPr/>
          <w:p>
            <w:pPr>
              <w:pStyle w:val="Compact"/>
              <w:jc w:val="left"/>
            </w:pPr>
            <w:r>
              <w:t xml:space="preserve">30,000.00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Quarterly Performance Review &amp; KPI Dashboard Implementation (initial setup and first two quarterly cycles)</w:t>
            </w:r>
          </w:p>
        </w:tc>
        <w:tc>
          <w:tcPr/>
          <w:p>
            <w:pPr>
              <w:pStyle w:val="Compact"/>
              <w:jc w:val="left"/>
            </w:pPr>
            <w:r>
              <w:t xml:space="preserve">12 weeks</w:t>
            </w:r>
          </w:p>
        </w:tc>
        <w:tc>
          <w:tcPr/>
          <w:p>
            <w:pPr>
              <w:pStyle w:val="Compact"/>
              <w:jc w:val="left"/>
            </w:pPr>
            <w:r>
              <w:t xml:space="preserve">25,000.00</w:t>
            </w:r>
          </w:p>
        </w:tc>
        <w:tc>
          <w:tcPr/>
          <w:p>
            <w:pPr>
              <w:pStyle w:val="Compact"/>
              <w:jc w:val="left"/>
            </w:pPr>
            <w:r>
              <w:t xml:space="preserve">300,000.00</w:t>
            </w:r>
          </w:p>
        </w:tc>
      </w:tr>
      <w:tr>
        <w:tc>
          <w:tcPr>
            <w:gridSpan w:val="4"/>
          </w:tcPr>
          <w:p>
            <w:pPr>
              <w:pStyle w:val="Compact"/>
              <w:jc w:val="left"/>
            </w:pPr>
            <w:r>
              <w:t xml:space="preserve">TOTAL AMOUNT (TRY)</w:t>
            </w:r>
          </w:p>
        </w:tc>
        <w:tc>
          <w:tcPr/>
          <w:p>
            <w:pPr>
              <w:pStyle w:val="Compact"/>
              <w:jc w:val="left"/>
            </w:pPr>
            <w:r>
              <w:t xml:space="preserve">1,288,000.00</w:t>
            </w:r>
          </w:p>
        </w:tc>
      </w:tr>
      <w:tr>
        <w:tc>
          <w:tcPr>
            <w:gridSpan w:val="4"/>
          </w:tcPr>
          <w:p>
            <w:pPr>
              <w:pStyle w:val="Compact"/>
              <w:jc w:val="left"/>
            </w:pPr>
            <w:r>
              <w:t xml:space="preserve">VAT (KDV) — 20%</w:t>
            </w:r>
          </w:p>
        </w:tc>
        <w:tc>
          <w:tcPr/>
          <w:p>
            <w:pPr>
              <w:pStyle w:val="Compact"/>
              <w:jc w:val="left"/>
            </w:pPr>
            <w:r>
              <w:t xml:space="preserve">257,600.00</w:t>
            </w:r>
          </w:p>
        </w:tc>
      </w:tr>
      <w:tr>
        <w:tc>
          <w:tcPr>
            <w:gridSpan w:val="4"/>
          </w:tcPr>
          <w:p>
            <w:pPr>
              <w:pStyle w:val="Compact"/>
              <w:jc w:val="left"/>
            </w:pPr>
            <w:r>
              <w:t xml:space="preserve">GRAND TOTAL (TRY)</w:t>
            </w:r>
          </w:p>
        </w:tc>
        <w:tc>
          <w:tcPr/>
          <w:p>
            <w:pPr>
              <w:pStyle w:val="Compact"/>
              <w:jc w:val="left"/>
            </w:pPr>
            <w:r>
              <w:t xml:space="preserve">1,545,600.00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relating to the Business Consultant engagement in Turkey Istanbul shall be subject to the exclusive jurisdiction of the Istanbul Courts and Arbitration Centers.</w:t>
      </w:r>
    </w:p>
    <w:p>
      <w:pPr>
        <w:numPr>
          <w:ilvl w:val="0"/>
          <w:numId w:val="1001"/>
        </w:numPr>
        <w:pStyle w:val="Compact"/>
      </w:pPr>
      <w:r>
        <w:rPr>
          <w:bCs/>
          <w:b/>
        </w:rPr>
        <w:t xml:space="preserve">Payment Terms:</w:t>
      </w:r>
      <w:r>
        <w:t xml:space="preserve"> </w:t>
      </w:r>
      <w:r>
        <w:t xml:space="preserve">Payment shall be made in Turkish Lira (TRY) via bank transfer to the Business Consultant's designated account. Invoices are due within thirty (30) calendar days from the date of invoice issuance. A 1.5% monthly late-payment interest shall apply in accordance with Turkish commercial law.</w:t>
      </w:r>
    </w:p>
    <w:p>
      <w:pPr>
        <w:numPr>
          <w:ilvl w:val="0"/>
          <w:numId w:val="1001"/>
        </w:numPr>
        <w:pStyle w:val="Compact"/>
      </w:pPr>
      <w:r>
        <w:rPr>
          <w:bCs/>
          <w:b/>
        </w:rPr>
        <w:t xml:space="preserve">Commencement and Duration:</w:t>
      </w:r>
      <w:r>
        <w:t xml:space="preserve"> </w:t>
      </w:r>
      <w:r>
        <w:t xml:space="preserve">The Business Consultant engagement shall commence on 1 July 2025 and shall continue for a total period of twenty-four (24) weeks, subject to the phased delivery schedule outlined in the attached Statement of Work.</w:t>
      </w:r>
    </w:p>
    <w:p>
      <w:pPr>
        <w:numPr>
          <w:ilvl w:val="0"/>
          <w:numId w:val="1001"/>
        </w:numPr>
        <w:pStyle w:val="Compact"/>
      </w:pPr>
      <w:r>
        <w:rPr>
          <w:bCs/>
          <w:b/>
        </w:rPr>
        <w:t xml:space="preserve">Deliverables:</w:t>
      </w:r>
      <w:r>
        <w:t xml:space="preserve"> </w:t>
      </w:r>
      <w:r>
        <w:t xml:space="preserve">All reports, presentations, and strategic documents produced by the Business Consultant shall be delivered in both Turkish and English. Final deliverables for each phase must be submitted to the Buyer's Project Management Office in Istanbul, Turkey, no later than the deadlines specified in the project timeline.</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and financial data of Anatolia Enterprise Solutions A.Ş.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work product, methodologies, and frameworks developed specifically for the Buyer under this Purchase Order shall be the sole intellectual property of Anatolia Enterprise Solutions A.Ş. The Business Consultant retains ownership of pre-existing tools and templates.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effective date of termination, less any applicable deductions.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public health emergencies affecting the Turkey Istanbul region.</w:t>
      </w:r>
    </w:p>
    <w:p>
      <w:pPr>
        <w:numPr>
          <w:ilvl w:val="0"/>
          <w:numId w:val="1001"/>
        </w:numPr>
        <w:pStyle w:val="Compact"/>
      </w:pPr>
      <w:r>
        <w:rPr>
          <w:bCs/>
          <w:b/>
        </w:rPr>
        <w:t xml:space="preserve">On-Site Requirements:</w:t>
      </w:r>
      <w:r>
        <w:t xml:space="preserve"> </w:t>
      </w:r>
      <w:r>
        <w:t xml:space="preserve">The Business Consultant is expected to be physically present at the Buyer's Istanbul office for a minimum of three (3) full business days per week. Remote work from other locations within Turkey Istanbul is permissible for the remaining days, subject to prior approval by the Buyer's Project Lead.</w:t>
      </w:r>
    </w:p>
    <w:p>
      <w:pPr>
        <w:numPr>
          <w:ilvl w:val="0"/>
          <w:numId w:val="1001"/>
        </w:numPr>
        <w:pStyle w:val="Compact"/>
      </w:pPr>
      <w:r>
        <w:rPr>
          <w:bCs/>
          <w:b/>
        </w:rPr>
        <w:t xml:space="preserve">Insurance:</w:t>
      </w:r>
      <w:r>
        <w:t xml:space="preserve"> </w:t>
      </w:r>
      <w:r>
        <w:t xml:space="preserve">The Business Consultant shall maintain professional liability insurance with a minimum coverage of TRY 5,000,000 for the duration of the engagement in Turkey Istanbul.</w:t>
      </w:r>
    </w:p>
    <w:p>
      <w:pPr>
        <w:pStyle w:val="FirstParagraph"/>
      </w:pPr>
      <w:r>
        <w:rPr>
          <w:bCs/>
          <w:b/>
        </w:rPr>
        <w:t xml:space="preserve">NOTE:</w:t>
      </w:r>
      <w:r>
        <w:t xml:space="preserve"> </w:t>
      </w:r>
      <w:r>
        <w:t xml:space="preserve">This Purchase Order constitutes a binding agreement upon signature by both parties. The Business Consultant acknowledges that all services described herein are to be performed in compliance with the regulations of the Istanbul Chamber of Commerce (İTO) and the Turkish Ministry of Trade. Any amendments to this Purchase Order must be made in writing and signed by both parties.</w:t>
      </w:r>
    </w:p>
    <w:p>
      <w:pPr>
        <w:pStyle w:val="BodyText"/>
      </w:pPr>
      <w:r>
        <w:rPr>
          <w:bCs/>
          <w:b/>
        </w:rPr>
        <w:t xml:space="preserve">For the Buyer</w:t>
      </w:r>
      <w:r>
        <w:br/>
      </w:r>
      <w:r>
        <w:t xml:space="preserve">Anatolia Enterprise Solutions A.Ş.</w:t>
      </w:r>
      <w:r>
        <w:br/>
      </w:r>
      <w:r>
        <w:t xml:space="preserve">Murat Kaya — CFO</w:t>
      </w:r>
      <w:r>
        <w:br/>
      </w:r>
      <w:r>
        <w:t xml:space="preserve">Date: _______________</w:t>
      </w:r>
    </w:p>
    <w:p>
      <w:pPr>
        <w:pStyle w:val="BodyText"/>
      </w:pPr>
      <w:r>
        <w:rPr>
          <w:bCs/>
          <w:b/>
        </w:rPr>
        <w:t xml:space="preserve">For the Business Consultant</w:t>
      </w:r>
      <w:r>
        <w:br/>
      </w:r>
      <w:r>
        <w:t xml:space="preserve">Marmara Strategic Advisory Ltd.</w:t>
      </w:r>
      <w:r>
        <w:br/>
      </w:r>
      <w:r>
        <w:t xml:space="preserve">Elif Demirci — Senior Business Consultant</w:t>
      </w:r>
      <w:r>
        <w:br/>
      </w:r>
      <w:r>
        <w:t xml:space="preserve">Date: _______________</w:t>
      </w:r>
    </w:p>
    <w:p>
      <w:pPr>
        <w:pStyle w:val="BodyText"/>
      </w:pPr>
      <w:r>
        <w:t xml:space="preserve">Purchase Order PO-TR-IST-2025-04871 — Business Consultant Services — Turkey Istanbul</w:t>
      </w:r>
      <w:r>
        <w:br/>
      </w:r>
      <w:r>
        <w:t xml:space="preserve">Anatolia Enterprise Solutions A.Ş. — Levent, Şişli, Istanbul, Turkey — procurement@anatoliaes.com</w:t>
      </w:r>
      <w:r>
        <w:br/>
      </w:r>
      <w:r>
        <w:t xml:space="preserve">This document is valid only when bearing the original wet-ink signatures of both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Turkey Istanbul</dc:title>
  <dc:creator/>
  <dc:language>en</dc:language>
  <cp:keywords/>
  <dcterms:created xsi:type="dcterms:W3CDTF">2026-10-10T01:58:45Z</dcterms:created>
  <dcterms:modified xsi:type="dcterms:W3CDTF">2026-10-10T01:58:45Z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