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purchase-order"/>
    <w:p>
      <w:pPr>
        <w:pStyle w:val="Heading1"/>
      </w:pPr>
      <w:r>
        <w:t xml:space="preserve">PURCHASE ORDER</w:t>
      </w:r>
    </w:p>
    <w:p>
      <w:pPr>
        <w:pStyle w:val="FirstParagraph"/>
      </w:pPr>
      <w:r>
        <w:t xml:space="preserve">Business Consultant Services — United Arab Emirates Dubai</w:t>
      </w:r>
    </w:p>
    <w:p>
      <w:pPr>
        <w:pStyle w:val="BodyText"/>
      </w:pPr>
      <w:r>
        <w:t xml:space="preserve">Document Reference: PO-DXB-2025-04782</w:t>
      </w:r>
    </w:p>
    <w:bookmarkEnd w:id="20"/>
    <w:p>
      <w:pPr>
        <w:pStyle w:val="BodyText"/>
      </w:pPr>
      <w:r>
        <w:t xml:space="preserve">Purchase Order Number:</w:t>
      </w:r>
      <w:r>
        <w:t xml:space="preserve"> </w:t>
      </w:r>
      <w:r>
        <w:t xml:space="preserve">PO-DXB-2025-04782</w:t>
      </w:r>
    </w:p>
    <w:p>
      <w:pPr>
        <w:pStyle w:val="BodyText"/>
      </w:pPr>
      <w:r>
        <w:t xml:space="preserve">Date of Issue:</w:t>
      </w:r>
      <w:r>
        <w:t xml:space="preserve"> </w:t>
      </w:r>
      <w:r>
        <w:t xml:space="preserve">15 June 2025</w:t>
      </w:r>
    </w:p>
    <w:p>
      <w:pPr>
        <w:pStyle w:val="BodyText"/>
      </w:pPr>
      <w:r>
        <w:t xml:space="preserve">Required Delivery Date:</w:t>
      </w:r>
      <w:r>
        <w:t xml:space="preserve"> </w:t>
      </w:r>
      <w:r>
        <w:t xml:space="preserve">30 September 2025</w:t>
      </w:r>
    </w:p>
    <w:p>
      <w:pPr>
        <w:pStyle w:val="BodyText"/>
      </w:pPr>
      <w:r>
        <w:t xml:space="preserve">Payment Terms:</w:t>
      </w:r>
      <w:r>
        <w:t xml:space="preserve"> </w:t>
      </w:r>
      <w:r>
        <w:t xml:space="preserve">Net 30 Days</w:t>
      </w:r>
    </w:p>
    <w:p>
      <w:pPr>
        <w:pStyle w:val="BodyText"/>
      </w:pPr>
      <w:r>
        <w:t xml:space="preserve">Currency:</w:t>
      </w:r>
      <w:r>
        <w:t xml:space="preserve"> </w:t>
      </w:r>
      <w:r>
        <w:t xml:space="preserve">AED (United Arab Emirates Dirham)</w:t>
      </w:r>
    </w:p>
    <w:p>
      <w:pPr>
        <w:pStyle w:val="BodyText"/>
      </w:pPr>
      <w:r>
        <w:t xml:space="preserve">Governing Jurisdiction:</w:t>
      </w:r>
      <w:r>
        <w:t xml:space="preserve"> </w:t>
      </w:r>
      <w:r>
        <w:t xml:space="preserve">United Arab Emirates Dubai</w:t>
      </w:r>
    </w:p>
    <w:p>
      <w:pPr>
        <w:pStyle w:val="BodyText"/>
      </w:pPr>
      <w:r>
        <w:t xml:space="preserve">PARTIES TO THIS PURCHASE ORDER</w:t>
      </w:r>
    </w:p>
    <w:bookmarkStart w:id="21" w:name="buyer-purchasing-entity"/>
    <w:p>
      <w:pPr>
        <w:pStyle w:val="Heading3"/>
      </w:pPr>
      <w:r>
        <w:t xml:space="preserve">Buyer (Purchasing Entity)</w:t>
      </w:r>
    </w:p>
    <w:p>
      <w:pPr>
        <w:pStyle w:val="FirstParagraph"/>
      </w:pPr>
      <w:r>
        <w:rPr>
          <w:bCs/>
          <w:b/>
        </w:rPr>
        <w:t xml:space="preserve">Company Name:</w:t>
      </w:r>
      <w:r>
        <w:t xml:space="preserve"> </w:t>
      </w:r>
      <w:r>
        <w:t xml:space="preserve">Al Noor Strategic Holdings LLC</w:t>
      </w:r>
    </w:p>
    <w:p>
      <w:pPr>
        <w:pStyle w:val="BodyText"/>
      </w:pPr>
      <w:r>
        <w:rPr>
          <w:bCs/>
          <w:b/>
        </w:rPr>
        <w:t xml:space="preserve">Trade License No.:</w:t>
      </w:r>
      <w:r>
        <w:t xml:space="preserve"> </w:t>
      </w:r>
      <w:r>
        <w:t xml:space="preserve">10458723</w:t>
      </w:r>
    </w:p>
    <w:p>
      <w:pPr>
        <w:pStyle w:val="BodyText"/>
      </w:pPr>
      <w:r>
        <w:rPr>
          <w:bCs/>
          <w:b/>
        </w:rPr>
        <w:t xml:space="preserve">Address:</w:t>
      </w:r>
      <w:r>
        <w:t xml:space="preserve"> </w:t>
      </w:r>
      <w:r>
        <w:t xml:space="preserve">Level 24, Burj Khalifa, Downtown Dubai, United Arab Emirates Dubai</w:t>
      </w:r>
    </w:p>
    <w:p>
      <w:pPr>
        <w:pStyle w:val="BodyText"/>
      </w:pPr>
      <w:r>
        <w:rPr>
          <w:bCs/>
          <w:b/>
        </w:rPr>
        <w:t xml:space="preserve">TRN:</w:t>
      </w:r>
      <w:r>
        <w:t xml:space="preserve"> </w:t>
      </w:r>
      <w:r>
        <w:t xml:space="preserve">100458723000003</w:t>
      </w:r>
    </w:p>
    <w:p>
      <w:pPr>
        <w:pStyle w:val="BodyText"/>
      </w:pPr>
      <w:r>
        <w:rPr>
          <w:bCs/>
          <w:b/>
        </w:rPr>
        <w:t xml:space="preserve">Contact Person:</w:t>
      </w:r>
      <w:r>
        <w:t xml:space="preserve"> </w:t>
      </w:r>
      <w:r>
        <w:t xml:space="preserve">Mr. Khalid Al Mansoori, Chief Financial Officer</w:t>
      </w:r>
    </w:p>
    <w:p>
      <w:pPr>
        <w:pStyle w:val="BodyText"/>
      </w:pPr>
      <w:r>
        <w:rPr>
          <w:bCs/>
          <w:b/>
        </w:rPr>
        <w:t xml:space="preserve">Email:</w:t>
      </w:r>
      <w:r>
        <w:t xml:space="preserve"> </w:t>
      </w:r>
      <w:r>
        <w:t xml:space="preserve">k.almansoori@alnoorholdings.ae</w:t>
      </w:r>
    </w:p>
    <w:p>
      <w:pPr>
        <w:pStyle w:val="BodyText"/>
      </w:pPr>
      <w:r>
        <w:rPr>
          <w:bCs/>
          <w:b/>
        </w:rPr>
        <w:t xml:space="preserve">Phone:</w:t>
      </w:r>
      <w:r>
        <w:t xml:space="preserve"> </w:t>
      </w:r>
      <w:r>
        <w:t xml:space="preserve">+971 4 555 0192</w:t>
      </w:r>
    </w:p>
    <w:bookmarkEnd w:id="21"/>
    <w:bookmarkStart w:id="22" w:name="supplier-service-provider"/>
    <w:p>
      <w:pPr>
        <w:pStyle w:val="Heading3"/>
      </w:pPr>
      <w:r>
        <w:t xml:space="preserve">Supplier (Service Provider)</w:t>
      </w:r>
    </w:p>
    <w:p>
      <w:pPr>
        <w:pStyle w:val="FirstParagraph"/>
      </w:pPr>
      <w:r>
        <w:rPr>
          <w:bCs/>
          <w:b/>
        </w:rPr>
        <w:t xml:space="preserve">Company Name:</w:t>
      </w:r>
      <w:r>
        <w:t xml:space="preserve"> </w:t>
      </w:r>
      <w:r>
        <w:t xml:space="preserve">Meridian Business Advisory FZ-LLC</w:t>
      </w:r>
    </w:p>
    <w:p>
      <w:pPr>
        <w:pStyle w:val="BodyText"/>
      </w:pPr>
      <w:r>
        <w:rPr>
          <w:bCs/>
          <w:b/>
        </w:rPr>
        <w:t xml:space="preserve">Trade License No.:</w:t>
      </w:r>
      <w:r>
        <w:t xml:space="preserve"> </w:t>
      </w:r>
      <w:r>
        <w:t xml:space="preserve">20783456</w:t>
      </w:r>
    </w:p>
    <w:p>
      <w:pPr>
        <w:pStyle w:val="BodyText"/>
      </w:pPr>
      <w:r>
        <w:rPr>
          <w:bCs/>
          <w:b/>
        </w:rPr>
        <w:t xml:space="preserve">Address:</w:t>
      </w:r>
      <w:r>
        <w:t xml:space="preserve"> </w:t>
      </w:r>
      <w:r>
        <w:t xml:space="preserve">Office 1208, Level 12, Dubai Internet City, United Arab Emirates Dubai</w:t>
      </w:r>
    </w:p>
    <w:p>
      <w:pPr>
        <w:pStyle w:val="BodyText"/>
      </w:pPr>
      <w:r>
        <w:rPr>
          <w:bCs/>
          <w:b/>
        </w:rPr>
        <w:t xml:space="preserve">TRN:</w:t>
      </w:r>
      <w:r>
        <w:t xml:space="preserve"> </w:t>
      </w:r>
      <w:r>
        <w:t xml:space="preserve">100783456000003</w:t>
      </w:r>
    </w:p>
    <w:p>
      <w:pPr>
        <w:pStyle w:val="BodyText"/>
      </w:pPr>
      <w:r>
        <w:rPr>
          <w:bCs/>
          <w:b/>
        </w:rPr>
        <w:t xml:space="preserve">Contact Person:</w:t>
      </w:r>
      <w:r>
        <w:t xml:space="preserve"> </w:t>
      </w:r>
      <w:r>
        <w:t xml:space="preserve">Ms. Sarah Al Farsi, Managing Director</w:t>
      </w:r>
    </w:p>
    <w:p>
      <w:pPr>
        <w:pStyle w:val="BodyText"/>
      </w:pPr>
      <w:r>
        <w:rPr>
          <w:bCs/>
          <w:b/>
        </w:rPr>
        <w:t xml:space="preserve">Email:</w:t>
      </w:r>
      <w:r>
        <w:t xml:space="preserve"> </w:t>
      </w:r>
      <w:r>
        <w:t xml:space="preserve">s.alfarsi@meridianadvisory.ae</w:t>
      </w:r>
    </w:p>
    <w:p>
      <w:pPr>
        <w:pStyle w:val="BodyText"/>
      </w:pPr>
      <w:r>
        <w:rPr>
          <w:bCs/>
          <w:b/>
        </w:rPr>
        <w:t xml:space="preserve">Phone:</w:t>
      </w:r>
      <w:r>
        <w:t xml:space="preserve"> </w:t>
      </w:r>
      <w:r>
        <w:t xml:space="preserve">+971 4 888 3421</w:t>
      </w:r>
    </w:p>
    <w:bookmarkEnd w:id="22"/>
    <w:p>
      <w:pPr>
        <w:pStyle w:val="BodyText"/>
      </w:pPr>
      <w:r>
        <w:t xml:space="preserve">DESCRIPTION OF SERVICES — BUSINESS CONSULTANT ENGAGEMENT</w:t>
      </w:r>
    </w:p>
    <w:p>
      <w:pPr>
        <w:pStyle w:val="BodyText"/>
      </w:pPr>
      <w:r>
        <w:t xml:space="preserve">This</w:t>
      </w:r>
      <w:r>
        <w:t xml:space="preserve"> </w:t>
      </w:r>
      <w:r>
        <w:t xml:space="preserve">Purchase Order</w:t>
      </w:r>
      <w:r>
        <w:t xml:space="preserve"> </w:t>
      </w:r>
      <w:r>
        <w:t xml:space="preserve">is issued by Al Noor Strategic Holdings LLC to formally engage Meridian Business Advisory FZ-LLC to provide professional</w:t>
      </w:r>
      <w:r>
        <w:t xml:space="preserve"> </w:t>
      </w:r>
      <w:r>
        <w:t xml:space="preserve">Business Consultant</w:t>
      </w:r>
      <w:r>
        <w:t xml:space="preserve"> </w:t>
      </w:r>
      <w:r>
        <w:t xml:space="preserve">services within the jurisdiction of</w:t>
      </w:r>
      <w:r>
        <w:t xml:space="preserve"> </w:t>
      </w:r>
      <w:r>
        <w:t xml:space="preserve">United Arab Emirates Dubai</w:t>
      </w:r>
      <w:r>
        <w:t xml:space="preserve">. The scope of this engagement encompasses strategic advisory, operational restructuring, market entry analysis, and regulatory compliance guidance tailored to the commercial landscape of the United Arab Emirates Dubai free zones and mainland markets. The Business Consultant shall deliver all services in accordance with the Federal Decree-Law No. 32 of 2021 on Commercial Companies and applicable Dubai Municipality and Department of Economic Development regulations.</w:t>
      </w:r>
    </w:p>
    <w:p>
      <w:pPr>
        <w:pStyle w:val="BodyText"/>
      </w:pPr>
      <w:r>
        <w:t xml:space="preserve">LINE ITEMS — SCOPE OF BUSINESS CONSULTANT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Business Consultant Service</w:t>
            </w:r>
          </w:p>
        </w:tc>
        <w:tc>
          <w:tcPr/>
          <w:p>
            <w:pPr>
              <w:pStyle w:val="Compact"/>
              <w:jc w:val="left"/>
            </w:pPr>
            <w:r>
              <w:t xml:space="preserve">Duration</w:t>
            </w:r>
          </w:p>
        </w:tc>
        <w:tc>
          <w:tcPr/>
          <w:p>
            <w:pPr>
              <w:pStyle w:val="Compact"/>
              <w:jc w:val="left"/>
            </w:pPr>
            <w:r>
              <w:t xml:space="preserve">Rate (AED)</w:t>
            </w:r>
          </w:p>
        </w:tc>
        <w:tc>
          <w:tcPr/>
          <w:p>
            <w:pPr>
              <w:pStyle w:val="Compact"/>
              <w:jc w:val="left"/>
            </w:pPr>
            <w:r>
              <w:t xml:space="preserve">Qty</w:t>
            </w:r>
          </w:p>
        </w:tc>
        <w:tc>
          <w:tcPr/>
          <w:p>
            <w:pPr>
              <w:pStyle w:val="Compact"/>
              <w:jc w:val="left"/>
            </w:pPr>
            <w:r>
              <w:t xml:space="preserve">Amount (AED)</w:t>
            </w:r>
          </w:p>
        </w:tc>
      </w:tr>
      <w:tr>
        <w:tc>
          <w:tcPr/>
          <w:p>
            <w:pPr>
              <w:pStyle w:val="Compact"/>
              <w:jc w:val="left"/>
            </w:pPr>
            <w:r>
              <w:t xml:space="preserve">01</w:t>
            </w:r>
          </w:p>
        </w:tc>
        <w:tc>
          <w:tcPr/>
          <w:p>
            <w:pPr>
              <w:pStyle w:val="Compact"/>
              <w:jc w:val="left"/>
            </w:pPr>
            <w:r>
              <w:t xml:space="preserve">Strategic Business Planning &amp; Corporate Restructuring Advisory — Business Consultant to conduct a comprehensive review of the Buyer's organizational structure, identify operational inefficiencies, and deliver a 90-day transformation roadmap aligned with Dubai Economic Agenda (D33) objectives.</w:t>
            </w:r>
          </w:p>
        </w:tc>
        <w:tc>
          <w:tcPr/>
          <w:p>
            <w:pPr>
              <w:pStyle w:val="Compact"/>
              <w:jc w:val="left"/>
            </w:pPr>
            <w:r>
              <w:t xml:space="preserve">3 Months</w:t>
            </w:r>
          </w:p>
        </w:tc>
        <w:tc>
          <w:tcPr/>
          <w:p>
            <w:pPr>
              <w:pStyle w:val="Compact"/>
              <w:jc w:val="left"/>
            </w:pPr>
            <w:r>
              <w:t xml:space="preserve">18,500</w:t>
            </w:r>
          </w:p>
        </w:tc>
        <w:tc>
          <w:tcPr/>
          <w:p>
            <w:pPr>
              <w:pStyle w:val="Compact"/>
              <w:jc w:val="left"/>
            </w:pPr>
            <w:r>
              <w:t xml:space="preserve">1</w:t>
            </w:r>
          </w:p>
        </w:tc>
        <w:tc>
          <w:tcPr/>
          <w:p>
            <w:pPr>
              <w:pStyle w:val="Compact"/>
              <w:jc w:val="left"/>
            </w:pPr>
            <w:r>
              <w:t xml:space="preserve">55,500.00</w:t>
            </w:r>
          </w:p>
        </w:tc>
      </w:tr>
      <w:tr>
        <w:tc>
          <w:tcPr/>
          <w:p>
            <w:pPr>
              <w:pStyle w:val="Compact"/>
              <w:jc w:val="left"/>
            </w:pPr>
            <w:r>
              <w:t xml:space="preserve">02</w:t>
            </w:r>
          </w:p>
        </w:tc>
        <w:tc>
          <w:tcPr/>
          <w:p>
            <w:pPr>
              <w:pStyle w:val="Compact"/>
              <w:jc w:val="left"/>
            </w:pPr>
            <w:r>
              <w:t xml:space="preserve">Market Entry &amp; Competitive Intelligence Analysis — Business Consultant to prepare a detailed feasibility study for the Buyer's expansion into the Dubai Multi Commodities Centre (DMCC) and Jebel Ali Free Zone (JAFZA), including regulatory mapping, tax structuring under the 9% Corporate Tax regime, and competitor benchmarking.</w:t>
            </w:r>
          </w:p>
        </w:tc>
        <w:tc>
          <w:tcPr/>
          <w:p>
            <w:pPr>
              <w:pStyle w:val="Compact"/>
              <w:jc w:val="left"/>
            </w:pPr>
            <w:r>
              <w:t xml:space="preserve">6 Weeks</w:t>
            </w:r>
          </w:p>
        </w:tc>
        <w:tc>
          <w:tcPr/>
          <w:p>
            <w:pPr>
              <w:pStyle w:val="Compact"/>
              <w:jc w:val="left"/>
            </w:pPr>
            <w:r>
              <w:t xml:space="preserve">12,000</w:t>
            </w:r>
          </w:p>
        </w:tc>
        <w:tc>
          <w:tcPr/>
          <w:p>
            <w:pPr>
              <w:pStyle w:val="Compact"/>
              <w:jc w:val="left"/>
            </w:pPr>
            <w:r>
              <w:t xml:space="preserve">1</w:t>
            </w:r>
          </w:p>
        </w:tc>
        <w:tc>
          <w:tcPr/>
          <w:p>
            <w:pPr>
              <w:pStyle w:val="Compact"/>
              <w:jc w:val="left"/>
            </w:pPr>
            <w:r>
              <w:t xml:space="preserve">72,000.00</w:t>
            </w:r>
          </w:p>
        </w:tc>
      </w:tr>
      <w:tr>
        <w:tc>
          <w:tcPr/>
          <w:p>
            <w:pPr>
              <w:pStyle w:val="Compact"/>
              <w:jc w:val="left"/>
            </w:pPr>
            <w:r>
              <w:t xml:space="preserve">03</w:t>
            </w:r>
          </w:p>
        </w:tc>
        <w:tc>
          <w:tcPr/>
          <w:p>
            <w:pPr>
              <w:pStyle w:val="Compact"/>
              <w:jc w:val="left"/>
            </w:pPr>
            <w:r>
              <w:t xml:space="preserve">Regulatory Compliance &amp; Licensing Advisory — Business Consultant to guide the Buyer through all licensing, visa, and compliance requirements for operating in United Arab Emirates Dubai, including coordination with the Dubai Department of Economy and Tourism (DET) and the Federal Authority for Identity, Citizenship, Customs &amp; Port Security.</w:t>
            </w:r>
          </w:p>
        </w:tc>
        <w:tc>
          <w:tcPr/>
          <w:p>
            <w:pPr>
              <w:pStyle w:val="Compact"/>
              <w:jc w:val="left"/>
            </w:pPr>
            <w:r>
              <w:t xml:space="preserve">4 Weeks</w:t>
            </w:r>
          </w:p>
        </w:tc>
        <w:tc>
          <w:tcPr/>
          <w:p>
            <w:pPr>
              <w:pStyle w:val="Compact"/>
              <w:jc w:val="left"/>
            </w:pPr>
            <w:r>
              <w:t xml:space="preserve">9,500</w:t>
            </w:r>
          </w:p>
        </w:tc>
        <w:tc>
          <w:tcPr/>
          <w:p>
            <w:pPr>
              <w:pStyle w:val="Compact"/>
              <w:jc w:val="left"/>
            </w:pPr>
            <w:r>
              <w:t xml:space="preserve">1</w:t>
            </w:r>
          </w:p>
        </w:tc>
        <w:tc>
          <w:tcPr/>
          <w:p>
            <w:pPr>
              <w:pStyle w:val="Compact"/>
              <w:jc w:val="left"/>
            </w:pPr>
            <w:r>
              <w:t xml:space="preserve">38,000.00</w:t>
            </w:r>
          </w:p>
        </w:tc>
      </w:tr>
      <w:tr>
        <w:tc>
          <w:tcPr/>
          <w:p>
            <w:pPr>
              <w:pStyle w:val="Compact"/>
              <w:jc w:val="left"/>
            </w:pPr>
            <w:r>
              <w:t xml:space="preserve">04</w:t>
            </w:r>
          </w:p>
        </w:tc>
        <w:tc>
          <w:tcPr/>
          <w:p>
            <w:pPr>
              <w:pStyle w:val="Compact"/>
              <w:jc w:val="left"/>
            </w:pPr>
            <w:r>
              <w:t xml:space="preserve">Financial Modelling &amp; Investment Readiness Assessment — Business Consultant to develop a five-year financial projection model, conduct due diligence preparation, and prepare investor presentation materials for potential private equity partners targeting the United Arab Emirates Dubai market.</w:t>
            </w:r>
          </w:p>
        </w:tc>
        <w:tc>
          <w:tcPr/>
          <w:p>
            <w:pPr>
              <w:pStyle w:val="Compact"/>
              <w:jc w:val="left"/>
            </w:pPr>
            <w:r>
              <w:t xml:space="preserve">8 Weeks</w:t>
            </w:r>
          </w:p>
        </w:tc>
        <w:tc>
          <w:tcPr/>
          <w:p>
            <w:pPr>
              <w:pStyle w:val="Compact"/>
              <w:jc w:val="left"/>
            </w:pPr>
            <w:r>
              <w:t xml:space="preserve">14,000</w:t>
            </w:r>
          </w:p>
        </w:tc>
        <w:tc>
          <w:tcPr/>
          <w:p>
            <w:pPr>
              <w:pStyle w:val="Compact"/>
              <w:jc w:val="left"/>
            </w:pPr>
            <w:r>
              <w:t xml:space="preserve">1</w:t>
            </w:r>
          </w:p>
        </w:tc>
        <w:tc>
          <w:tcPr/>
          <w:p>
            <w:pPr>
              <w:pStyle w:val="Compact"/>
              <w:jc w:val="left"/>
            </w:pPr>
            <w:r>
              <w:t xml:space="preserve">112,000.00</w:t>
            </w:r>
          </w:p>
        </w:tc>
      </w:tr>
      <w:tr>
        <w:tc>
          <w:tcPr/>
          <w:p>
            <w:pPr>
              <w:pStyle w:val="Compact"/>
              <w:jc w:val="left"/>
            </w:pPr>
            <w:r>
              <w:t xml:space="preserve">05</w:t>
            </w:r>
          </w:p>
        </w:tc>
        <w:tc>
          <w:tcPr/>
          <w:p>
            <w:pPr>
              <w:pStyle w:val="Compact"/>
              <w:jc w:val="left"/>
            </w:pPr>
            <w:r>
              <w:t xml:space="preserve">Ongoing Advisory Retainer — Business Consultant to provide monthly on-site advisory sessions (two days per month at the Buyer's Dubai office), email and telephone support, and quarterly progress reporting to the Buyer's Board of Directors.</w:t>
            </w:r>
          </w:p>
        </w:tc>
        <w:tc>
          <w:tcPr/>
          <w:p>
            <w:pPr>
              <w:pStyle w:val="Compact"/>
              <w:jc w:val="left"/>
            </w:pPr>
            <w:r>
              <w:t xml:space="preserve">12 Months</w:t>
            </w:r>
          </w:p>
        </w:tc>
        <w:tc>
          <w:tcPr/>
          <w:p>
            <w:pPr>
              <w:pStyle w:val="Compact"/>
              <w:jc w:val="left"/>
            </w:pPr>
            <w:r>
              <w:t xml:space="preserve">7,500</w:t>
            </w:r>
          </w:p>
        </w:tc>
        <w:tc>
          <w:tcPr/>
          <w:p>
            <w:pPr>
              <w:pStyle w:val="Compact"/>
              <w:jc w:val="left"/>
            </w:pPr>
            <w:r>
              <w:t xml:space="preserve">12</w:t>
            </w:r>
          </w:p>
        </w:tc>
        <w:tc>
          <w:tcPr/>
          <w:p>
            <w:pPr>
              <w:pStyle w:val="Compact"/>
              <w:jc w:val="left"/>
            </w:pPr>
            <w:r>
              <w:t xml:space="preserve">90,000.00</w:t>
            </w:r>
          </w:p>
        </w:tc>
      </w:tr>
      <w:tr>
        <w:tc>
          <w:tcPr>
            <w:gridSpan w:val="5"/>
          </w:tcPr>
          <w:p>
            <w:pPr>
              <w:pStyle w:val="Compact"/>
              <w:jc w:val="right"/>
            </w:pPr>
            <w:r>
              <w:t xml:space="preserve">Subtotal</w:t>
            </w:r>
          </w:p>
        </w:tc>
        <w:tc>
          <w:tcPr/>
          <w:p>
            <w:pPr>
              <w:pStyle w:val="Compact"/>
              <w:jc w:val="left"/>
            </w:pPr>
            <w:r>
              <w:t xml:space="preserve">367,500.00</w:t>
            </w:r>
          </w:p>
        </w:tc>
      </w:tr>
      <w:tr>
        <w:tc>
          <w:tcPr>
            <w:gridSpan w:val="5"/>
          </w:tcPr>
          <w:p>
            <w:pPr>
              <w:pStyle w:val="Compact"/>
              <w:jc w:val="right"/>
            </w:pPr>
            <w:r>
              <w:t xml:space="preserve">VAT (5% — United Arab Emirates Dubai)</w:t>
            </w:r>
          </w:p>
        </w:tc>
        <w:tc>
          <w:tcPr/>
          <w:p>
            <w:pPr>
              <w:pStyle w:val="Compact"/>
              <w:jc w:val="left"/>
            </w:pPr>
            <w:r>
              <w:t xml:space="preserve">18,375.00</w:t>
            </w:r>
          </w:p>
        </w:tc>
      </w:tr>
      <w:tr>
        <w:tc>
          <w:tcPr>
            <w:gridSpan w:val="5"/>
          </w:tcPr>
          <w:p>
            <w:pPr>
              <w:pStyle w:val="Compact"/>
              <w:jc w:val="right"/>
            </w:pPr>
            <w:r>
              <w:t xml:space="preserve">TOTAL AMOUNT DUE (AED)</w:t>
            </w:r>
          </w:p>
        </w:tc>
        <w:tc>
          <w:tcPr/>
          <w:p>
            <w:pPr>
              <w:pStyle w:val="Compact"/>
              <w:jc w:val="left"/>
            </w:pPr>
            <w:r>
              <w:t xml:space="preserve">385,875.00</w:t>
            </w:r>
          </w:p>
        </w:tc>
      </w:tr>
    </w:tbl>
    <w:p>
      <w:pPr>
        <w:pStyle w:val="BodyText"/>
      </w:pPr>
      <w:r>
        <w:t xml:space="preserve">TERMS AND CONDITIONS OF THIS PURCHASE ORDER</w:t>
      </w:r>
    </w:p>
    <w:p>
      <w:pPr>
        <w:numPr>
          <w:ilvl w:val="0"/>
          <w:numId w:val="1001"/>
        </w:numPr>
        <w:pStyle w:val="Compact"/>
      </w:pPr>
      <w:r>
        <w:rPr>
          <w:bCs/>
          <w:b/>
        </w:rPr>
        <w:t xml:space="preserve">Acceptance:</w:t>
      </w:r>
      <w:r>
        <w:t xml:space="preserve"> </w:t>
      </w:r>
      <w:r>
        <w:t xml:space="preserve">This Purchase Order shall become a binding contract upon written acceptance by the Business Consultant (Supplier) within five (5) business days of the date of issue. Acceptance must be confirmed in writing via email or signed copy returned to the Buyer's procurement department in United Arab Emirates Dubai.</w:t>
      </w:r>
    </w:p>
    <w:p>
      <w:pPr>
        <w:numPr>
          <w:ilvl w:val="0"/>
          <w:numId w:val="1001"/>
        </w:numPr>
        <w:pStyle w:val="Compact"/>
      </w:pPr>
      <w:r>
        <w:rPr>
          <w:bCs/>
          <w:b/>
        </w:rPr>
        <w:t xml:space="preserve">Payment Schedule:</w:t>
      </w:r>
      <w:r>
        <w:t xml:space="preserve"> </w:t>
      </w:r>
      <w:r>
        <w:t xml:space="preserve">Payment for this Purchase Order shall be made in three (3) equal instalments: 30% upon execution, 40% upon delivery of the mid-project deliverables, and 30% upon final acceptance of all Business Consultant services. All payments shall be made via bank transfer to the Supplier's designated account in AED.</w:t>
      </w:r>
    </w:p>
    <w:p>
      <w:pPr>
        <w:numPr>
          <w:ilvl w:val="0"/>
          <w:numId w:val="1001"/>
        </w:numPr>
        <w:pStyle w:val="Compact"/>
      </w:pPr>
      <w:r>
        <w:rPr>
          <w:bCs/>
          <w:b/>
        </w:rPr>
        <w:t xml:space="preserve">Performance Standards:</w:t>
      </w:r>
      <w:r>
        <w:t xml:space="preserve"> </w:t>
      </w:r>
      <w:r>
        <w:t xml:space="preserve">The Business Consultant shall perform all services with the degree of skill, care, and diligence expected of a senior professional operating in the United Arab Emirates Dubai consulting market. All deliverables must comply with the standards set forth by the Dubai Chamber of Commerce and Industry.</w:t>
      </w:r>
    </w:p>
    <w:p>
      <w:pPr>
        <w:numPr>
          <w:ilvl w:val="0"/>
          <w:numId w:val="1001"/>
        </w:numPr>
        <w:pStyle w:val="Compact"/>
      </w:pPr>
      <w:r>
        <w:rPr>
          <w:bCs/>
          <w:b/>
        </w:rPr>
        <w:t xml:space="preserve">Confidentiality:</w:t>
      </w:r>
      <w:r>
        <w:t xml:space="preserve"> </w:t>
      </w:r>
      <w:r>
        <w:t xml:space="preserve">The Business Consultant agrees to maintain strict confidentiality over all proprietary information, trade secrets, and financial data of the Buyer. This obligation shall survive the termination of this Purchase Order for a period of three (3) years and is governed by the UAE Federal Decree-Law No. 31 of 2021 on the Protection of Personal Data.</w:t>
      </w:r>
    </w:p>
    <w:p>
      <w:pPr>
        <w:numPr>
          <w:ilvl w:val="0"/>
          <w:numId w:val="1001"/>
        </w:numPr>
        <w:pStyle w:val="Compact"/>
      </w:pPr>
      <w:r>
        <w:rPr>
          <w:bCs/>
          <w:b/>
        </w:rPr>
        <w:t xml:space="preserve">Intellectual Property:</w:t>
      </w:r>
      <w:r>
        <w:t xml:space="preserve"> </w:t>
      </w:r>
      <w:r>
        <w:t xml:space="preserve">All reports, models, analyses, and deliverables produced by the Business Consultant under this Purchase Order shall become the exclusive property of the Buyer upon full payment. The Business Consultant retains the right to use anonymized, aggregated data for internal research purposes only.</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pay for all Business Consultant services rendered up to the date of termination, and the Business Consultant shall deliver all work-in-progress materials.</w:t>
      </w:r>
    </w:p>
    <w:p>
      <w:pPr>
        <w:numPr>
          <w:ilvl w:val="0"/>
          <w:numId w:val="1001"/>
        </w:numPr>
        <w:pStyle w:val="Compact"/>
      </w:pPr>
      <w:r>
        <w:rPr>
          <w:bCs/>
          <w:b/>
        </w:rPr>
        <w:t xml:space="preserve">Dispute Resolution:</w:t>
      </w:r>
      <w:r>
        <w:t xml:space="preserve"> </w:t>
      </w:r>
      <w:r>
        <w:t xml:space="preserve">Any dispute arising from or in connection with this Purchase Order shall first be subject to good-faith negotiation. If unresolved within thirty (30) days, the dispute shall be referred to arbitration in accordance with the rules of the Dubai International Arbitration Centre (DIAC) in United Arab Emirates Dubai. The language of arbitration shall be English.</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United Arab Emirates, with specific reference to the commercial laws applicable in the Dubai jurisdiction. The courts of United Arab Emirates Dubai shall have exclusive jurisdiction over any matters not referred to arbitration.</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acts of God, government sanctions, or pandemics, provided that the affected party notifies the other within seven (7) days.</w:t>
      </w:r>
    </w:p>
    <w:p>
      <w:pPr>
        <w:numPr>
          <w:ilvl w:val="0"/>
          <w:numId w:val="1001"/>
        </w:numPr>
        <w:pStyle w:val="Compact"/>
      </w:pPr>
      <w:r>
        <w:rPr>
          <w:bCs/>
          <w:b/>
        </w:rPr>
        <w:t xml:space="preserve">Anti-Bribery &amp; Compliance:</w:t>
      </w:r>
      <w:r>
        <w:t xml:space="preserve"> </w:t>
      </w:r>
      <w:r>
        <w:t xml:space="preserve">The Business Consultant warrants compliance with the UAE Anti-Money Laundering Law (Federal Decree-Law No. 20 of 2018) and the Dubai Financial Services Authority (DFSA) regulations where applicable. Any breach of this clause constitutes grounds for immediate termination of this Purchase Order.</w:t>
      </w:r>
    </w:p>
    <w:p>
      <w:pPr>
        <w:pStyle w:val="FirstParagraph"/>
      </w:pPr>
      <w:r>
        <w:t xml:space="preserve">AUTHORIZATION &amp; SIGNATURES</w:t>
      </w:r>
    </w:p>
    <w:p>
      <w:pPr>
        <w:pStyle w:val="BodyText"/>
      </w:pPr>
      <w:r>
        <w:rPr>
          <w:bCs/>
          <w:b/>
        </w:rPr>
        <w:t xml:space="preserve">For and on behalf of the Buyer:</w:t>
      </w:r>
    </w:p>
    <w:p>
      <w:pPr>
        <w:pStyle w:val="BodyText"/>
      </w:pPr>
      <w:r>
        <w:t xml:space="preserve">Al Noor Strategic Holdings LLC</w:t>
      </w:r>
    </w:p>
    <w:p>
      <w:pPr>
        <w:pStyle w:val="BodyText"/>
      </w:pPr>
      <w:r>
        <w:t xml:space="preserve">Name: Mr. Khalid Al Mansoori</w:t>
      </w:r>
    </w:p>
    <w:p>
      <w:pPr>
        <w:pStyle w:val="BodyText"/>
      </w:pPr>
      <w:r>
        <w:t xml:space="preserve">Title: Chief Financial Officer</w:t>
      </w:r>
    </w:p>
    <w:p>
      <w:pPr>
        <w:pStyle w:val="BodyText"/>
      </w:pPr>
      <w:r>
        <w:t xml:space="preserve">Date: _______________</w:t>
      </w:r>
    </w:p>
    <w:p>
      <w:pPr>
        <w:pStyle w:val="BodyText"/>
      </w:pPr>
      <w:r>
        <w:rPr>
          <w:bCs/>
          <w:b/>
        </w:rPr>
        <w:t xml:space="preserve">For and on behalf of the Supplier (Business Consultant):</w:t>
      </w:r>
    </w:p>
    <w:p>
      <w:pPr>
        <w:pStyle w:val="BodyText"/>
      </w:pPr>
      <w:r>
        <w:t xml:space="preserve">Meridian Business Advisory FZ-LLC</w:t>
      </w:r>
    </w:p>
    <w:p>
      <w:pPr>
        <w:pStyle w:val="BodyText"/>
      </w:pPr>
      <w:r>
        <w:t xml:space="preserve">Name: Ms. Sarah Al Farsi</w:t>
      </w:r>
    </w:p>
    <w:p>
      <w:pPr>
        <w:pStyle w:val="BodyText"/>
      </w:pPr>
      <w:r>
        <w:t xml:space="preserve">Title: Managing Director</w:t>
      </w:r>
    </w:p>
    <w:p>
      <w:pPr>
        <w:pStyle w:val="BodyText"/>
      </w:pPr>
      <w:r>
        <w:t xml:space="preserve">Date: _______________</w:t>
      </w:r>
    </w:p>
    <w:p>
      <w:pPr>
        <w:pStyle w:val="BodyText"/>
      </w:pPr>
      <w:r>
        <w:t xml:space="preserve">This Purchase Order (PO-DXB-2025-04782) is issued in the United Arab Emirates Dubai and constitutes a formal procurement document for Business Consultant services. All references to "United Arab Emirates Dubai" in this document refer to the emirate of Dubai within the Federal State of the United Arab Emirates. This document is valid for a period of sixty (60) days from the date of issue unless accepted in writing prior to expiry. © 2025 Al Noor Strategic Holdings LLC.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Services - United Arab Emirates Dubai</dc:title>
  <dc:creator/>
  <dc:language>en</dc:language>
  <cp:keywords/>
  <dcterms:created xsi:type="dcterms:W3CDTF">2026-10-10T04:22:41Z</dcterms:created>
  <dcterms:modified xsi:type="dcterms:W3CDTF">2026-10-10T04:22:41Z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