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SF-2025-04871</w:t>
      </w:r>
    </w:p>
    <w:p>
      <w:pPr>
        <w:pStyle w:val="BodyText"/>
      </w:pPr>
      <w:r>
        <w:t xml:space="preserve">Date of Issue: June 12, 2025</w:t>
      </w:r>
    </w:p>
    <w:bookmarkEnd w:id="20"/>
    <w:bookmarkStart w:id="23" w:name="parties-to-this-purchase-order"/>
    <w:p>
      <w:pPr>
        <w:pStyle w:val="Heading2"/>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Golden Gate Strategic Ventures, LLC</w:t>
      </w:r>
    </w:p>
    <w:p>
      <w:pPr>
        <w:pStyle w:val="BodyText"/>
      </w:pPr>
      <w:r>
        <w:rPr>
          <w:bCs/>
          <w:b/>
        </w:rPr>
        <w:t xml:space="preserve">Address:</w:t>
      </w:r>
      <w:r>
        <w:t xml:space="preserve"> </w:t>
      </w:r>
      <w:r>
        <w:t xml:space="preserve">450 Market Street, Suite 1200, San Francisco, CA 94105, United States</w:t>
      </w:r>
    </w:p>
    <w:p>
      <w:pPr>
        <w:pStyle w:val="BodyText"/>
      </w:pPr>
      <w:r>
        <w:rPr>
          <w:bCs/>
          <w:b/>
        </w:rPr>
        <w:t xml:space="preserve">Phone:</w:t>
      </w:r>
      <w:r>
        <w:t xml:space="preserve"> </w:t>
      </w:r>
      <w:r>
        <w:t xml:space="preserve">(415) 555-0142</w:t>
      </w:r>
    </w:p>
    <w:p>
      <w:pPr>
        <w:pStyle w:val="BodyText"/>
      </w:pPr>
      <w:r>
        <w:rPr>
          <w:bCs/>
          <w:b/>
        </w:rPr>
        <w:t xml:space="preserve">Email:</w:t>
      </w:r>
      <w:r>
        <w:t xml:space="preserve"> </w:t>
      </w:r>
      <w:r>
        <w:t xml:space="preserve">procurement@ggv-ventures.com</w:t>
      </w:r>
    </w:p>
    <w:p>
      <w:pPr>
        <w:pStyle w:val="BodyText"/>
      </w:pPr>
      <w:r>
        <w:rPr>
          <w:bCs/>
          <w:b/>
        </w:rPr>
        <w:t xml:space="preserve">Tax ID (EIN):</w:t>
      </w:r>
      <w:r>
        <w:t xml:space="preserve"> </w:t>
      </w:r>
      <w:r>
        <w:t xml:space="preserve">94-2847561</w:t>
      </w:r>
    </w:p>
    <w:p>
      <w:pPr>
        <w:pStyle w:val="BodyText"/>
      </w:pPr>
      <w:r>
        <w:rPr>
          <w:bCs/>
          <w:b/>
        </w:rPr>
        <w:t xml:space="preserve">Authorized Representative:</w:t>
      </w:r>
      <w:r>
        <w:t xml:space="preserve"> </w:t>
      </w:r>
      <w:r>
        <w:t xml:space="preserve">Margaret Chen, VP of Operations</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Pacific Rim Advisory Group, Inc.</w:t>
      </w:r>
    </w:p>
    <w:p>
      <w:pPr>
        <w:pStyle w:val="BodyText"/>
      </w:pPr>
      <w:r>
        <w:rPr>
          <w:bCs/>
          <w:b/>
        </w:rPr>
        <w:t xml:space="preserve">Address:</w:t>
      </w:r>
      <w:r>
        <w:t xml:space="preserve"> </w:t>
      </w:r>
      <w:r>
        <w:t xml:space="preserve">880 Battery Street, Floor 22, San Francisco, CA 94111, United States</w:t>
      </w:r>
    </w:p>
    <w:p>
      <w:pPr>
        <w:pStyle w:val="BodyText"/>
      </w:pPr>
      <w:r>
        <w:rPr>
          <w:bCs/>
          <w:b/>
        </w:rPr>
        <w:t xml:space="preserve">Phone:</w:t>
      </w:r>
      <w:r>
        <w:t xml:space="preserve"> </w:t>
      </w:r>
      <w:r>
        <w:t xml:space="preserve">(415) 555-0387</w:t>
      </w:r>
    </w:p>
    <w:p>
      <w:pPr>
        <w:pStyle w:val="BodyText"/>
      </w:pPr>
      <w:r>
        <w:rPr>
          <w:bCs/>
          <w:b/>
        </w:rPr>
        <w:t xml:space="preserve">Email:</w:t>
      </w:r>
      <w:r>
        <w:t xml:space="preserve"> </w:t>
      </w:r>
      <w:r>
        <w:t xml:space="preserve">contracts@pacificrimadvisory.com</w:t>
      </w:r>
    </w:p>
    <w:p>
      <w:pPr>
        <w:pStyle w:val="BodyText"/>
      </w:pPr>
      <w:r>
        <w:rPr>
          <w:bCs/>
          <w:b/>
        </w:rPr>
        <w:t xml:space="preserve">Tax ID (EIN):</w:t>
      </w:r>
      <w:r>
        <w:t xml:space="preserve"> </w:t>
      </w:r>
      <w:r>
        <w:t xml:space="preserve">94-5612398</w:t>
      </w:r>
    </w:p>
    <w:p>
      <w:pPr>
        <w:pStyle w:val="BodyText"/>
      </w:pPr>
      <w:r>
        <w:rPr>
          <w:bCs/>
          <w:b/>
        </w:rPr>
        <w:t xml:space="preserve">Authorized Representative:</w:t>
      </w:r>
      <w:r>
        <w:t xml:space="preserve"> </w:t>
      </w:r>
      <w:r>
        <w:t xml:space="preserve">David Okafor, Managing Partner</w:t>
      </w:r>
    </w:p>
    <w:bookmarkEnd w:id="22"/>
    <w:bookmarkEnd w:id="23"/>
    <w:bookmarkStart w:id="24" w:name="X85ea9579347e4144739cde00edf36f97364aa8c"/>
    <w:p>
      <w:pPr>
        <w:pStyle w:val="Heading2"/>
      </w:pPr>
      <w:r>
        <w:t xml:space="preserve">Description of Services – Business Consultant Engagement</w:t>
      </w:r>
    </w:p>
    <w:p>
      <w:pPr>
        <w:pStyle w:val="FirstParagraph"/>
      </w:pPr>
      <w:r>
        <w:t xml:space="preserve">This</w:t>
      </w:r>
      <w:r>
        <w:t xml:space="preserve"> </w:t>
      </w:r>
      <w:r>
        <w:t xml:space="preserve">Purchase Order</w:t>
      </w:r>
      <w:r>
        <w:t xml:space="preserve"> </w:t>
      </w:r>
      <w:r>
        <w:t xml:space="preserve">is issued by Golden Gate Strategic Ventures, LLC to Pacific Rim Advisory Group, Inc. for the procurement of professional</w:t>
      </w:r>
      <w:r>
        <w:t xml:space="preserve"> </w:t>
      </w:r>
      <w:r>
        <w:t xml:space="preserve">Business Consultant</w:t>
      </w:r>
      <w:r>
        <w:t xml:space="preserve"> </w:t>
      </w:r>
      <w:r>
        <w:t xml:space="preserve">services to be performed within the jurisdiction of</w:t>
      </w:r>
      <w:r>
        <w:t xml:space="preserve"> </w:t>
      </w:r>
      <w:r>
        <w:t xml:space="preserve">United States San Francisco</w:t>
      </w:r>
      <w:r>
        <w:t xml:space="preserve">. The Business Consultant shall provide comprehensive strategic advisory, operational analysis, and organizational development services as detailed in the line items below. All services rendered under this Purchase Order shall be conducted in compliance with the laws of the State of California and the applicable municipal regulations of the City and County of San Francisco, United States.</w:t>
      </w:r>
    </w:p>
    <w:bookmarkEnd w:id="24"/>
    <w:bookmarkStart w:id="25" w:name="line-items-and-scope-of-work"/>
    <w:p>
      <w:pPr>
        <w:pStyle w:val="Heading2"/>
      </w:pPr>
      <w:r>
        <w:t xml:space="preserve">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Strategic Business Planning and Market Analysis – The Business Consultant shall conduct a full competitive landscape assessment of the San Francisco technology and financial services sectors, including SWOT analysis, market entry strategy, and five-year growth projections for the Buyer's operations in United States San Francisco.</w:t>
            </w:r>
          </w:p>
        </w:tc>
        <w:tc>
          <w:tcPr/>
          <w:p>
            <w:pPr>
              <w:pStyle w:val="Compact"/>
              <w:jc w:val="left"/>
            </w:pPr>
            <w:r>
              <w:t xml:space="preserve">60 days</w:t>
            </w:r>
          </w:p>
        </w:tc>
        <w:tc>
          <w:tcPr/>
          <w:p>
            <w:pPr>
              <w:pStyle w:val="Compact"/>
              <w:jc w:val="left"/>
            </w:pPr>
            <w:r>
              <w:t xml:space="preserve">$285/hr</w:t>
            </w:r>
          </w:p>
        </w:tc>
        <w:tc>
          <w:tcPr/>
          <w:p>
            <w:pPr>
              <w:pStyle w:val="Compact"/>
              <w:jc w:val="left"/>
            </w:pPr>
            <w:r>
              <w:t xml:space="preserve">$43,560.00</w:t>
            </w:r>
          </w:p>
        </w:tc>
      </w:tr>
      <w:tr>
        <w:tc>
          <w:tcPr/>
          <w:p>
            <w:pPr>
              <w:pStyle w:val="Compact"/>
              <w:jc w:val="left"/>
            </w:pPr>
            <w:r>
              <w:t xml:space="preserve">002</w:t>
            </w:r>
          </w:p>
        </w:tc>
        <w:tc>
          <w:tcPr/>
          <w:p>
            <w:pPr>
              <w:pStyle w:val="Compact"/>
              <w:jc w:val="left"/>
            </w:pPr>
            <w:r>
              <w:t xml:space="preserve">Operational Efficiency Audit – The Business Consultant shall perform an end-to-end operational review of the Buyer's San Francisco headquarters, identifying process bottlenecks, recommending workflow optimizations, and delivering a 90-day implementation roadmap.</w:t>
            </w:r>
          </w:p>
        </w:tc>
        <w:tc>
          <w:tcPr/>
          <w:p>
            <w:pPr>
              <w:pStyle w:val="Compact"/>
              <w:jc w:val="left"/>
            </w:pPr>
            <w:r>
              <w:t xml:space="preserve">45 days</w:t>
            </w:r>
          </w:p>
        </w:tc>
        <w:tc>
          <w:tcPr/>
          <w:p>
            <w:pPr>
              <w:pStyle w:val="Compact"/>
              <w:jc w:val="left"/>
            </w:pPr>
            <w:r>
              <w:t xml:space="preserve">$285/hr</w:t>
            </w:r>
          </w:p>
        </w:tc>
        <w:tc>
          <w:tcPr/>
          <w:p>
            <w:pPr>
              <w:pStyle w:val="Compact"/>
              <w:jc w:val="left"/>
            </w:pPr>
            <w:r>
              <w:t xml:space="preserve">$32,670.00</w:t>
            </w:r>
          </w:p>
        </w:tc>
      </w:tr>
      <w:tr>
        <w:tc>
          <w:tcPr/>
          <w:p>
            <w:pPr>
              <w:pStyle w:val="Compact"/>
              <w:jc w:val="left"/>
            </w:pPr>
            <w:r>
              <w:t xml:space="preserve">003</w:t>
            </w:r>
          </w:p>
        </w:tc>
        <w:tc>
          <w:tcPr/>
          <w:p>
            <w:pPr>
              <w:pStyle w:val="Compact"/>
              <w:jc w:val="left"/>
            </w:pPr>
            <w:r>
              <w:t xml:space="preserve">Organizational Development and Leadership Coaching – The Business Consultant shall design and deliver a leadership development program for 25 senior managers at the Buyer's San Francisco office, including one-on-one executive coaching sessions and team-based strategic workshops.</w:t>
            </w:r>
          </w:p>
        </w:tc>
        <w:tc>
          <w:tcPr/>
          <w:p>
            <w:pPr>
              <w:pStyle w:val="Compact"/>
              <w:jc w:val="left"/>
            </w:pPr>
            <w:r>
              <w:t xml:space="preserve">90 days</w:t>
            </w:r>
          </w:p>
        </w:tc>
        <w:tc>
          <w:tcPr/>
          <w:p>
            <w:pPr>
              <w:pStyle w:val="Compact"/>
              <w:jc w:val="left"/>
            </w:pPr>
            <w:r>
              <w:t xml:space="preserve">$285/hr</w:t>
            </w:r>
          </w:p>
        </w:tc>
        <w:tc>
          <w:tcPr/>
          <w:p>
            <w:pPr>
              <w:pStyle w:val="Compact"/>
              <w:jc w:val="left"/>
            </w:pPr>
            <w:r>
              <w:t xml:space="preserve">$65,340.00</w:t>
            </w:r>
          </w:p>
        </w:tc>
      </w:tr>
      <w:tr>
        <w:tc>
          <w:tcPr/>
          <w:p>
            <w:pPr>
              <w:pStyle w:val="Compact"/>
              <w:jc w:val="left"/>
            </w:pPr>
            <w:r>
              <w:t xml:space="preserve">004</w:t>
            </w:r>
          </w:p>
        </w:tc>
        <w:tc>
          <w:tcPr/>
          <w:p>
            <w:pPr>
              <w:pStyle w:val="Compact"/>
              <w:jc w:val="left"/>
            </w:pPr>
            <w:r>
              <w:t xml:space="preserve">Financial Modeling and Capital Strategy Advisory – The Business Consultant shall develop detailed financial models for potential Series C funding, including cash flow projections, valuation scenarios, and investor presentation materials tailored to the San Francisco venture capital ecosystem.</w:t>
            </w:r>
          </w:p>
        </w:tc>
        <w:tc>
          <w:tcPr/>
          <w:p>
            <w:pPr>
              <w:pStyle w:val="Compact"/>
              <w:jc w:val="left"/>
            </w:pPr>
            <w:r>
              <w:t xml:space="preserve">30 days</w:t>
            </w:r>
          </w:p>
        </w:tc>
        <w:tc>
          <w:tcPr/>
          <w:p>
            <w:pPr>
              <w:pStyle w:val="Compact"/>
              <w:jc w:val="left"/>
            </w:pPr>
            <w:r>
              <w:t xml:space="preserve">$325/hr</w:t>
            </w:r>
          </w:p>
        </w:tc>
        <w:tc>
          <w:tcPr/>
          <w:p>
            <w:pPr>
              <w:pStyle w:val="Compact"/>
              <w:jc w:val="left"/>
            </w:pPr>
            <w:r>
              <w:t xml:space="preserve">$39,000.00</w:t>
            </w:r>
          </w:p>
        </w:tc>
      </w:tr>
      <w:tr>
        <w:tc>
          <w:tcPr/>
          <w:p>
            <w:pPr>
              <w:pStyle w:val="Compact"/>
              <w:jc w:val="left"/>
            </w:pPr>
            <w:r>
              <w:t xml:space="preserve">005</w:t>
            </w:r>
          </w:p>
        </w:tc>
        <w:tc>
          <w:tcPr/>
          <w:p>
            <w:pPr>
              <w:pStyle w:val="Compact"/>
              <w:jc w:val="left"/>
            </w:pPr>
            <w:r>
              <w:t xml:space="preserve">Regulatory Compliance and Risk Assessment – The Business Consultant shall evaluate the Buyer's compliance posture with respect to California state labor laws, San Francisco municipal business ordinances, and federal regulations applicable to technology companies operating in United States San Francisco.</w:t>
            </w:r>
          </w:p>
        </w:tc>
        <w:tc>
          <w:tcPr/>
          <w:p>
            <w:pPr>
              <w:pStyle w:val="Compact"/>
              <w:jc w:val="left"/>
            </w:pPr>
            <w:r>
              <w:t xml:space="preserve">30 days</w:t>
            </w:r>
          </w:p>
        </w:tc>
        <w:tc>
          <w:tcPr/>
          <w:p>
            <w:pPr>
              <w:pStyle w:val="Compact"/>
              <w:jc w:val="left"/>
            </w:pPr>
            <w:r>
              <w:t xml:space="preserve">$285/hr</w:t>
            </w:r>
          </w:p>
        </w:tc>
        <w:tc>
          <w:tcPr/>
          <w:p>
            <w:pPr>
              <w:pStyle w:val="Compact"/>
              <w:jc w:val="left"/>
            </w:pPr>
            <w:r>
              <w:t xml:space="preserve">$34,200.00</w:t>
            </w:r>
          </w:p>
        </w:tc>
      </w:tr>
      <w:tr>
        <w:tc>
          <w:tcPr>
            <w:gridSpan w:val="4"/>
          </w:tcPr>
          <w:p>
            <w:pPr>
              <w:pStyle w:val="Compact"/>
              <w:jc w:val="left"/>
            </w:pPr>
            <w:r>
              <w:t xml:space="preserve">TOTAL PURCHASE ORDER VALUE</w:t>
            </w:r>
          </w:p>
        </w:tc>
        <w:tc>
          <w:tcPr/>
          <w:p>
            <w:pPr>
              <w:pStyle w:val="Compact"/>
              <w:jc w:val="left"/>
            </w:pPr>
            <w:r>
              <w:t xml:space="preserve">$214,770.00</w:t>
            </w:r>
          </w:p>
        </w:tc>
      </w:tr>
    </w:tbl>
    <w:bookmarkEnd w:id="25"/>
    <w:bookmarkStart w:id="26" w:name="payment-terms-and-conditions"/>
    <w:p>
      <w:pPr>
        <w:pStyle w:val="Heading2"/>
      </w:pPr>
      <w:r>
        <w:t xml:space="preserve">Payment Terms and Conditions</w:t>
      </w:r>
    </w:p>
    <w:p>
      <w:pPr>
        <w:numPr>
          <w:ilvl w:val="0"/>
          <w:numId w:val="1001"/>
        </w:numPr>
        <w:pStyle w:val="Compact"/>
      </w:pPr>
      <w:r>
        <w:rPr>
          <w:bCs/>
          <w:b/>
        </w:rPr>
        <w:t xml:space="preserve">Payment Schedule:</w:t>
      </w:r>
      <w:r>
        <w:t xml:space="preserve"> </w:t>
      </w:r>
      <w:r>
        <w:t xml:space="preserve">Invoices shall be submitted bi-weekly upon completion of each milestone. Payment is due within thirty (30) calendar days of invoice receipt (Net 30).</w:t>
      </w:r>
    </w:p>
    <w:p>
      <w:pPr>
        <w:numPr>
          <w:ilvl w:val="0"/>
          <w:numId w:val="1001"/>
        </w:numPr>
        <w:pStyle w:val="Compact"/>
      </w:pPr>
      <w:r>
        <w:rPr>
          <w:bCs/>
          <w:b/>
        </w:rPr>
        <w:t xml:space="preserve">Payment Method:</w:t>
      </w:r>
      <w:r>
        <w:t xml:space="preserve"> </w:t>
      </w:r>
      <w:r>
        <w:t xml:space="preserve">All payments under this Purchase Order shall be made via ACH wire transfer to the Seller's designated bank account in the United States. No cash payments shall be accepted.</w:t>
      </w:r>
    </w:p>
    <w:p>
      <w:pPr>
        <w:numPr>
          <w:ilvl w:val="0"/>
          <w:numId w:val="1001"/>
        </w:numPr>
        <w:pStyle w:val="Compact"/>
      </w:pPr>
      <w:r>
        <w:rPr>
          <w:bCs/>
          <w:b/>
        </w:rPr>
        <w:t xml:space="preserve">Tax Treatment:</w:t>
      </w:r>
      <w:r>
        <w:t xml:space="preserve"> </w:t>
      </w:r>
      <w:r>
        <w:t xml:space="preserve">The Business Consultant services described herein are subject to California state sales tax where applicable. The Seller shall provide a valid California Seller's Permit number. All tax obligations shall be governed by the Internal Revenue Code and California Revenue and Taxation Code.</w:t>
      </w:r>
    </w:p>
    <w:p>
      <w:pPr>
        <w:numPr>
          <w:ilvl w:val="0"/>
          <w:numId w:val="1001"/>
        </w:numPr>
        <w:pStyle w:val="Compact"/>
      </w:pPr>
      <w:r>
        <w:rPr>
          <w:bCs/>
          <w:b/>
        </w:rPr>
        <w:t xml:space="preserve">Late Payment:</w:t>
      </w:r>
      <w:r>
        <w:t xml:space="preserve"> </w:t>
      </w:r>
      <w:r>
        <w:t xml:space="preserve">Overdue amounts shall accrue interest at a rate of 1.5% per month or the maximum rate permitted under California law, whichever is lower.</w:t>
      </w:r>
    </w:p>
    <w:p>
      <w:pPr>
        <w:numPr>
          <w:ilvl w:val="0"/>
          <w:numId w:val="1001"/>
        </w:numPr>
        <w:pStyle w:val="Compact"/>
      </w:pPr>
      <w:r>
        <w:rPr>
          <w:bCs/>
          <w:b/>
        </w:rPr>
        <w:t xml:space="preserve">Disputes:</w:t>
      </w:r>
      <w:r>
        <w:t xml:space="preserve"> </w:t>
      </w:r>
      <w:r>
        <w:t xml:space="preserve">Any billing disputes must be raised in writing within fifteen (15) business days of invoice receipt. Undisputed portions shall be paid on the original due date.</w:t>
      </w:r>
    </w:p>
    <w:bookmarkEnd w:id="26"/>
    <w:bookmarkStart w:id="27" w:name="Xd46b32632bdbd14289bf6a4c3b36a5f75733cad"/>
    <w:p>
      <w:pPr>
        <w:pStyle w:val="Heading2"/>
      </w:pPr>
      <w:r>
        <w:t xml:space="preserve">Terms and Conditions Governing This Purchase Order</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United States, without regard to its conflict of law principles. Any disputes arising from this Purchase Order shall be subject to the exclusive jurisdiction of the state and federal courts located in San Francisco, California, United States.</w:t>
      </w:r>
    </w:p>
    <w:p>
      <w:pPr>
        <w:numPr>
          <w:ilvl w:val="0"/>
          <w:numId w:val="1002"/>
        </w:numPr>
        <w:pStyle w:val="Compact"/>
      </w:pPr>
      <w:r>
        <w:rPr>
          <w:bCs/>
          <w:b/>
        </w:rPr>
        <w:t xml:space="preserve">Confidentiality:</w:t>
      </w:r>
      <w:r>
        <w:t xml:space="preserve"> </w:t>
      </w:r>
      <w:r>
        <w:t xml:space="preserve">The Business Consultant agrees to maintain strict confidentiality of all proprietary information, trade secrets, and business data accessed during the engagement in United States San Francisco. A separate Non-Disclosure Agreement (NDA) is incorporated by reference into this Purchase Order.</w:t>
      </w:r>
    </w:p>
    <w:p>
      <w:pPr>
        <w:numPr>
          <w:ilvl w:val="0"/>
          <w:numId w:val="1002"/>
        </w:numPr>
        <w:pStyle w:val="Compact"/>
      </w:pPr>
      <w:r>
        <w:rPr>
          <w:bCs/>
          <w:b/>
        </w:rPr>
        <w:t xml:space="preserve">Intellectual Property:</w:t>
      </w:r>
      <w:r>
        <w:t xml:space="preserve"> </w:t>
      </w:r>
      <w:r>
        <w:t xml:space="preserve">All deliverables, reports, models, and work product created by the Business Consultant specifically for the Buyer under this Purchase Order shall be the sole and exclusive property of the Buyer upon full payment.</w:t>
      </w:r>
    </w:p>
    <w:p>
      <w:pPr>
        <w:numPr>
          <w:ilvl w:val="0"/>
          <w:numId w:val="1002"/>
        </w:numPr>
        <w:pStyle w:val="Compact"/>
      </w:pPr>
      <w:r>
        <w:rPr>
          <w:bCs/>
          <w:b/>
        </w:rPr>
        <w:t xml:space="preserve">Independent Contractor Status:</w:t>
      </w:r>
      <w:r>
        <w:t xml:space="preserve"> </w:t>
      </w:r>
      <w:r>
        <w:t xml:space="preserve">The Business Consultant is engaged as an independent contractor and not as an employee, agent, or partner of the Buyer. The Business Consultant is solely responsible for all federal, state, and local tax obligations, including self-employment tax, California state income tax, and San Francisco municipal taxes.</w:t>
      </w:r>
    </w:p>
    <w:p>
      <w:pPr>
        <w:numPr>
          <w:ilvl w:val="0"/>
          <w:numId w:val="1002"/>
        </w:numPr>
        <w:pStyle w:val="Compact"/>
      </w:pPr>
      <w:r>
        <w:rPr>
          <w:bCs/>
          <w:b/>
        </w:rPr>
        <w:t xml:space="preserve">Insurance:</w:t>
      </w:r>
      <w:r>
        <w:t xml:space="preserve"> </w:t>
      </w:r>
      <w:r>
        <w:t xml:space="preserve">The Business Consultant shall maintain, at their own expense, professional liability insurance (errors and omissions) with a minimum coverage of $2,000,000 per occurrence and $5,000,000 in the aggregate, as well as general liability insurance of $1,000,000. Certificates of insurance shall be provided prior to commencement of services.</w:t>
      </w:r>
    </w:p>
    <w:p>
      <w:pPr>
        <w:numPr>
          <w:ilvl w:val="0"/>
          <w:numId w:val="1002"/>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up to the effective date of termination. The Business Consultant shall deliver all work-in-progress materials within ten (10) business days of termination.</w:t>
      </w:r>
    </w:p>
    <w:p>
      <w:pPr>
        <w:numPr>
          <w:ilvl w:val="0"/>
          <w:numId w:val="1002"/>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acts of government, pandemics, or labor disputes affecting operations in United States San Francisco.</w:t>
      </w:r>
    </w:p>
    <w:p>
      <w:pPr>
        <w:numPr>
          <w:ilvl w:val="0"/>
          <w:numId w:val="1002"/>
        </w:numPr>
        <w:pStyle w:val="Compact"/>
      </w:pPr>
      <w:r>
        <w:rPr>
          <w:bCs/>
          <w:b/>
        </w:rPr>
        <w:t xml:space="preserve">Compliance:</w:t>
      </w:r>
      <w:r>
        <w:t xml:space="preserve"> </w:t>
      </w:r>
      <w:r>
        <w:t xml:space="preserve">The Business Consultant warrants that all services shall be performed in full compliance with the California Labor Code, the San Francisco Administrative Code, the Americans with Disabilities Act, and all applicable federal and state employment and anti-discrimination laws.</w:t>
      </w:r>
    </w:p>
    <w:bookmarkEnd w:id="27"/>
    <w:bookmarkStart w:id="28" w:name="delivery-and-performance-location"/>
    <w:p>
      <w:pPr>
        <w:pStyle w:val="Heading2"/>
      </w:pPr>
      <w:r>
        <w:t xml:space="preserve">Delivery and Performance Location</w:t>
      </w:r>
    </w:p>
    <w:p>
      <w:pPr>
        <w:pStyle w:val="FirstParagraph"/>
      </w:pPr>
      <w:r>
        <w:t xml:space="preserve">All services under this Purchase Order shall be performed primarily at the Buyer's principal office located at 450 Market Street, Suite 1200, San Francisco, CA 94105, United States. The Business Consultant may also conduct on-site visits to the Seller's office at 880 Battery Street, San Francisco, CA 94111, United States, for collaborative strategy sessions. Remote work via secure video conferencing is permitted for up to 40% of total engagement hours, provided all data security protocols outlined in the NDA are observed.</w:t>
      </w:r>
    </w:p>
    <w:bookmarkEnd w:id="28"/>
    <w:bookmarkStart w:id="29" w:name="acceptance-and-authorization"/>
    <w:p>
      <w:pPr>
        <w:pStyle w:val="Heading2"/>
      </w:pPr>
      <w:r>
        <w:t xml:space="preserve">Acceptance and Authorization</w:t>
      </w:r>
    </w:p>
    <w:p>
      <w:pPr>
        <w:pStyle w:val="FirstParagraph"/>
      </w:pPr>
      <w:r>
        <w:t xml:space="preserve">By signing below, both parties acknowledge that this Purchase Order constitutes a binding agreement for the procurement of Business Consultant services in United States San Francisco. This Purchase Order is effective as of the date of the last signature below and shall remain in force until all obligations have been fulfilled or until terminated in accordance with the terms herein.</w:t>
      </w:r>
    </w:p>
    <w:bookmarkEnd w:id="29"/>
    <w:p>
      <w:pPr>
        <w:pStyle w:val="BodyText"/>
      </w:pPr>
      <w:r>
        <w:rPr>
          <w:bCs/>
          <w:b/>
        </w:rPr>
        <w:t xml:space="preserve">For the Buyer:</w:t>
      </w:r>
      <w:r>
        <w:br/>
      </w:r>
      <w:r>
        <w:t xml:space="preserve">Golden Gate Strategic Ventures, LLC</w:t>
      </w:r>
    </w:p>
    <w:p>
      <w:pPr>
        <w:pStyle w:val="BodyText"/>
      </w:pPr>
      <w:r>
        <w:t xml:space="preserve">______________________________</w:t>
      </w:r>
    </w:p>
    <w:p>
      <w:pPr>
        <w:pStyle w:val="BodyText"/>
      </w:pPr>
      <w:r>
        <w:t xml:space="preserve">Margaret Chen, VP of Operations</w:t>
      </w:r>
    </w:p>
    <w:p>
      <w:pPr>
        <w:pStyle w:val="BodyText"/>
      </w:pPr>
      <w:r>
        <w:t xml:space="preserve">Date: _______________</w:t>
      </w:r>
    </w:p>
    <w:p>
      <w:pPr>
        <w:pStyle w:val="BodyText"/>
      </w:pPr>
      <w:r>
        <w:rPr>
          <w:bCs/>
          <w:b/>
        </w:rPr>
        <w:t xml:space="preserve">For the Seller:</w:t>
      </w:r>
      <w:r>
        <w:br/>
      </w:r>
      <w:r>
        <w:t xml:space="preserve">Pacific Rim Advisory Group, Inc.</w:t>
      </w:r>
    </w:p>
    <w:p>
      <w:pPr>
        <w:pStyle w:val="BodyText"/>
      </w:pPr>
      <w:r>
        <w:t xml:space="preserve">______________________________</w:t>
      </w:r>
    </w:p>
    <w:p>
      <w:pPr>
        <w:pStyle w:val="BodyText"/>
      </w:pPr>
      <w:r>
        <w:t xml:space="preserve">David Okafor, Managing Partner</w:t>
      </w:r>
    </w:p>
    <w:p>
      <w:pPr>
        <w:pStyle w:val="BodyText"/>
      </w:pPr>
      <w:r>
        <w:t xml:space="preserve">Date: _______________</w:t>
      </w:r>
    </w:p>
    <w:p>
      <w:pPr>
        <w:pStyle w:val="BodyText"/>
      </w:pPr>
      <w:r>
        <w:t xml:space="preserve">This Purchase Order (No. SF-2025-04871) was prepared and issued in San Francisco, California, United States. It is valid for a period of ninety (90) days from the date of issue. For questions regarding this Purchase Order, contact the Procurement Department at procurement@ggv-ventures.com or (415) 555-0142. This document is the property of Golden Gate Strategic Ventures, LLC and may not be reproduced or distributed without written consent.</w:t>
      </w:r>
    </w:p>
    <w:p>
      <w:pPr>
        <w:pStyle w:val="BodyText"/>
      </w:pPr>
      <w:r>
        <w:t xml:space="preserve">Page 1 of 1 | Document Classification: Confidential –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San Francisco, United States</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