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Carpenter</w:t>
      </w:r>
      <w:r>
        <w:t xml:space="preserve"> </w:t>
      </w:r>
      <w:r>
        <w:t xml:space="preserve">Services</w:t>
      </w:r>
      <w:r>
        <w:t xml:space="preserve"> </w:t>
      </w:r>
      <w:r>
        <w:t xml:space="preserve">-</w:t>
      </w:r>
      <w:r>
        <w:t xml:space="preserve"> </w:t>
      </w:r>
      <w:r>
        <w:t xml:space="preserve">Australia</w:t>
      </w:r>
      <w:r>
        <w:t xml:space="preserve"> </w:t>
      </w:r>
      <w:r>
        <w:t xml:space="preserve">Brisbane</w:t>
      </w:r>
    </w:p>
    <w:bookmarkStart w:id="20" w:name="purchase-order"/>
    <w:p>
      <w:pPr>
        <w:pStyle w:val="Heading1"/>
      </w:pPr>
      <w:r>
        <w:t xml:space="preserve">PURCHASE ORDER</w:t>
      </w:r>
    </w:p>
    <w:p>
      <w:pPr>
        <w:pStyle w:val="FirstParagraph"/>
      </w:pPr>
      <w:r>
        <w:rPr>
          <w:bCs/>
          <w:b/>
        </w:rPr>
        <w:t xml:space="preserve">Buyer:</w:t>
      </w:r>
      <w:r>
        <w:t xml:space="preserve"> </w:t>
      </w:r>
      <w:r>
        <w:t xml:space="preserve">Brisbane Residential Construction Group Pty Ltd</w:t>
      </w:r>
    </w:p>
    <w:p>
      <w:pPr>
        <w:pStyle w:val="BodyText"/>
      </w:pPr>
      <w:r>
        <w:rPr>
          <w:bCs/>
          <w:b/>
        </w:rPr>
        <w:t xml:space="preserve">ABN:</w:t>
      </w:r>
      <w:r>
        <w:t xml:space="preserve"> </w:t>
      </w:r>
      <w:r>
        <w:t xml:space="preserve">47 123 456 789</w:t>
      </w:r>
    </w:p>
    <w:p>
      <w:pPr>
        <w:pStyle w:val="BodyText"/>
      </w:pPr>
      <w:r>
        <w:rPr>
          <w:bCs/>
          <w:b/>
        </w:rPr>
        <w:t xml:space="preserve">Address:</w:t>
      </w:r>
      <w:r>
        <w:t xml:space="preserve"> </w:t>
      </w:r>
      <w:r>
        <w:t xml:space="preserve">142 Creek Street, Brisbane City, Queensland 4000, Australia Brisbane</w:t>
      </w:r>
    </w:p>
    <w:p>
      <w:pPr>
        <w:pStyle w:val="BodyText"/>
      </w:pPr>
      <w:r>
        <w:rPr>
          <w:bCs/>
          <w:b/>
        </w:rPr>
        <w:t xml:space="preserve">Contact:</w:t>
      </w:r>
      <w:r>
        <w:t xml:space="preserve"> </w:t>
      </w:r>
      <w:r>
        <w:t xml:space="preserve">procurement@briscogroup.com.au | +61 7 3210 4567</w:t>
      </w:r>
    </w:p>
    <w:bookmarkEnd w:id="20"/>
    <w:p>
      <w:pPr>
        <w:pStyle w:val="BodyText"/>
      </w:pPr>
      <w:r>
        <w:rPr>
          <w:bCs/>
          <w:b/>
        </w:rPr>
        <w:t xml:space="preserve">Purchase Order No.:</w:t>
      </w:r>
      <w:r>
        <w:t xml:space="preserve"> </w:t>
      </w:r>
      <w:r>
        <w:t xml:space="preserve">PO-2025-BRIS-00482</w:t>
      </w:r>
    </w:p>
    <w:p>
      <w:pPr>
        <w:pStyle w:val="BodyText"/>
      </w:pPr>
      <w:r>
        <w:rPr>
          <w:bCs/>
          <w:b/>
        </w:rPr>
        <w:t xml:space="preserve">Date of Issue:</w:t>
      </w:r>
      <w:r>
        <w:t xml:space="preserve"> </w:t>
      </w:r>
      <w:r>
        <w:t xml:space="preserve">14 June 2025</w:t>
      </w:r>
    </w:p>
    <w:p>
      <w:pPr>
        <w:pStyle w:val="BodyText"/>
      </w:pPr>
      <w:r>
        <w:rPr>
          <w:bCs/>
          <w:b/>
        </w:rPr>
        <w:t xml:space="preserve">Required Completion:</w:t>
      </w:r>
      <w:r>
        <w:t xml:space="preserve"> </w:t>
      </w:r>
      <w:r>
        <w:t xml:space="preserve">29 August 2025</w:t>
      </w:r>
    </w:p>
    <w:p>
      <w:pPr>
        <w:pStyle w:val="BodyText"/>
      </w:pPr>
      <w:r>
        <w:rPr>
          <w:bCs/>
          <w:b/>
        </w:rPr>
        <w:t xml:space="preserve">Supplier / Carpenter:</w:t>
      </w:r>
      <w:r>
        <w:t xml:space="preserve"> </w:t>
      </w:r>
      <w:r>
        <w:t xml:space="preserve">Mitchell &amp; Sons Carpentry Services</w:t>
      </w:r>
    </w:p>
    <w:p>
      <w:pPr>
        <w:pStyle w:val="BodyText"/>
      </w:pPr>
      <w:r>
        <w:rPr>
          <w:bCs/>
          <w:b/>
        </w:rPr>
        <w:t xml:space="preserve">ABN:</w:t>
      </w:r>
      <w:r>
        <w:t xml:space="preserve"> </w:t>
      </w:r>
      <w:r>
        <w:t xml:space="preserve">23 987 654 321</w:t>
      </w:r>
    </w:p>
    <w:p>
      <w:pPr>
        <w:pStyle w:val="BodyText"/>
      </w:pPr>
      <w:r>
        <w:rPr>
          <w:bCs/>
          <w:b/>
        </w:rPr>
        <w:t xml:space="preserve">Address:</w:t>
      </w:r>
      <w:r>
        <w:t xml:space="preserve"> </w:t>
      </w:r>
      <w:r>
        <w:t xml:space="preserve">87 Anzac Parade, Fortitude Valley, Brisbane, QLD 4006, Australia Brisbane</w:t>
      </w:r>
    </w:p>
    <w:p>
      <w:pPr>
        <w:pStyle w:val="BodyText"/>
      </w:pPr>
      <w:r>
        <w:rPr>
          <w:bCs/>
          <w:b/>
        </w:rPr>
        <w:t xml:space="preserve">Contact:</w:t>
      </w:r>
      <w:r>
        <w:t xml:space="preserve"> </w:t>
      </w:r>
      <w:r>
        <w:t xml:space="preserve">mitchell@mscarpentry.com.au | +61 7 3855 2210</w:t>
      </w:r>
    </w:p>
    <w:bookmarkStart w:id="21" w:name="purpose-of-this-purchase-order"/>
    <w:p>
      <w:pPr>
        <w:pStyle w:val="Heading2"/>
      </w:pPr>
      <w:r>
        <w:t xml:space="preserve">1. Purpose of This Purchase Order</w:t>
      </w:r>
    </w:p>
    <w:p>
      <w:pPr>
        <w:pStyle w:val="FirstParagraph"/>
      </w:pPr>
      <w:r>
        <w:t xml:space="preserve">This Purchase Order is issued by Brisbane Residential Construction Group Pty Ltd (hereinafter referred to as the "Buyer") to formally engage Mitchell &amp; Sons Carpentry Services (hereinafter referred to as the "Carpenter") for the supply and installation of all carpentry works associated with the construction of a four-bedroom residential dwelling located at Lot 12, Section 4, Eagle Farm, Australia Brisbane. This Purchase Order constitutes a binding agreement between the parties and governs all terms, conditions, deliverables, and payment obligations related to the Carpenter's scope of work within the Australia Brisbane metropolitan construction zone.</w:t>
      </w:r>
    </w:p>
    <w:bookmarkEnd w:id="21"/>
    <w:bookmarkStart w:id="22" w:name="scope-of-work-carpenter-services"/>
    <w:p>
      <w:pPr>
        <w:pStyle w:val="Heading2"/>
      </w:pPr>
      <w:r>
        <w:t xml:space="preserve">2. Scope of Work – Carpenter Services</w:t>
      </w:r>
    </w:p>
    <w:p>
      <w:pPr>
        <w:pStyle w:val="FirstParagraph"/>
      </w:pPr>
      <w:r>
        <w:t xml:space="preserve">The Carpenter shall provide all labour, tools, equipment, and consumable materials necessary to complete the following carpentry tasks in accordance with the National Construction Code (NCC) 2022, Queensland Building and Construction Commission (QBCC) regulations, and all applicable Australia Brisbane local council by-laws:</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Item No.</w:t>
            </w:r>
          </w:p>
        </w:tc>
        <w:tc>
          <w:tcPr/>
          <w:p>
            <w:pPr>
              <w:pStyle w:val="Compact"/>
              <w:jc w:val="left"/>
            </w:pPr>
            <w:r>
              <w:t xml:space="preserve">Description of Carpenter Work</w:t>
            </w:r>
          </w:p>
        </w:tc>
        <w:tc>
          <w:tcPr/>
          <w:p>
            <w:pPr>
              <w:pStyle w:val="Compact"/>
              <w:jc w:val="left"/>
            </w:pPr>
            <w:r>
              <w:t xml:space="preserve">Location / Area</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(AUD)</w:t>
            </w:r>
          </w:p>
        </w:tc>
        <w:tc>
          <w:tcPr/>
          <w:p>
            <w:pPr>
              <w:pStyle w:val="Compact"/>
              <w:jc w:val="left"/>
            </w:pPr>
            <w:r>
              <w:t xml:space="preserve">Amount (AUD)</w:t>
            </w:r>
          </w:p>
        </w:tc>
      </w:tr>
      <w:tr>
        <w:tc>
          <w:tcPr/>
          <w:p>
            <w:pPr>
              <w:pStyle w:val="Compact"/>
              <w:jc w:val="left"/>
            </w:pPr>
            <w:r>
              <w:t xml:space="preserve">1</w:t>
            </w:r>
          </w:p>
        </w:tc>
        <w:tc>
          <w:tcPr/>
          <w:p>
            <w:pPr>
              <w:pStyle w:val="Compact"/>
              <w:jc w:val="left"/>
            </w:pPr>
            <w:r>
              <w:t xml:space="preserve">Structural framing – floor joists, wall studs, and roof trusses (9mm treated pine, MGP10 grade)</w:t>
            </w:r>
          </w:p>
        </w:tc>
        <w:tc>
          <w:tcPr/>
          <w:p>
            <w:pPr>
              <w:pStyle w:val="Compact"/>
              <w:jc w:val="left"/>
            </w:pPr>
            <w:r>
              <w:t xml:space="preserve">Ground floor &amp; first floor</w:t>
            </w:r>
          </w:p>
        </w:tc>
        <w:tc>
          <w:tcPr/>
          <w:p>
            <w:pPr>
              <w:pStyle w:val="Compact"/>
              <w:jc w:val="left"/>
            </w:pPr>
            <w:r>
              <w:t xml:space="preserve">Lot</w:t>
            </w:r>
          </w:p>
        </w:tc>
        <w:tc>
          <w:tcPr/>
          <w:p>
            <w:pPr>
              <w:pStyle w:val="Compact"/>
              <w:jc w:val="left"/>
            </w:pPr>
            <w:r>
              <w:t xml:space="preserve">1</w:t>
            </w:r>
          </w:p>
        </w:tc>
        <w:tc>
          <w:tcPr/>
          <w:p>
            <w:pPr>
              <w:pStyle w:val="Compact"/>
              <w:jc w:val="left"/>
            </w:pPr>
            <w:r>
              <w:t xml:space="preserve">28,500.00</w:t>
            </w:r>
          </w:p>
        </w:tc>
        <w:tc>
          <w:tcPr/>
          <w:p>
            <w:pPr>
              <w:pStyle w:val="Compact"/>
              <w:jc w:val="left"/>
            </w:pPr>
            <w:r>
              <w:t xml:space="preserve">28,500.00</w:t>
            </w:r>
          </w:p>
        </w:tc>
      </w:tr>
      <w:tr>
        <w:tc>
          <w:tcPr/>
          <w:p>
            <w:pPr>
              <w:pStyle w:val="Compact"/>
              <w:jc w:val="left"/>
            </w:pPr>
            <w:r>
              <w:t xml:space="preserve">2</w:t>
            </w:r>
          </w:p>
        </w:tc>
        <w:tc>
          <w:tcPr/>
          <w:p>
            <w:pPr>
              <w:pStyle w:val="Compact"/>
              <w:jc w:val="left"/>
            </w:pPr>
            <w:r>
              <w:t xml:space="preserve">Installation of internal plasterboard partitions (10mm Gyprock) including noggins and corner beads</w:t>
            </w:r>
          </w:p>
        </w:tc>
        <w:tc>
          <w:tcPr/>
          <w:p>
            <w:pPr>
              <w:pStyle w:val="Compact"/>
              <w:jc w:val="left"/>
            </w:pPr>
            <w:r>
              <w:t xml:space="preserve">All internal walls</w:t>
            </w:r>
          </w:p>
        </w:tc>
        <w:tc>
          <w:tcPr/>
          <w:p>
            <w:pPr>
              <w:pStyle w:val="Compact"/>
              <w:jc w:val="left"/>
            </w:pPr>
            <w:r>
              <w:t xml:space="preserve">m²</w:t>
            </w:r>
          </w:p>
        </w:tc>
        <w:tc>
          <w:tcPr/>
          <w:p>
            <w:pPr>
              <w:pStyle w:val="Compact"/>
              <w:jc w:val="left"/>
            </w:pPr>
            <w:r>
              <w:t xml:space="preserve">340</w:t>
            </w:r>
          </w:p>
        </w:tc>
        <w:tc>
          <w:tcPr/>
          <w:p>
            <w:pPr>
              <w:pStyle w:val="Compact"/>
              <w:jc w:val="left"/>
            </w:pPr>
            <w:r>
              <w:t xml:space="preserve">42.00</w:t>
            </w:r>
          </w:p>
        </w:tc>
        <w:tc>
          <w:tcPr/>
          <w:p>
            <w:pPr>
              <w:pStyle w:val="Compact"/>
              <w:jc w:val="left"/>
            </w:pPr>
            <w:r>
              <w:t xml:space="preserve">14,280.00</w:t>
            </w:r>
          </w:p>
        </w:tc>
      </w:tr>
      <w:tr>
        <w:tc>
          <w:tcPr/>
          <w:p>
            <w:pPr>
              <w:pStyle w:val="Compact"/>
              <w:jc w:val="left"/>
            </w:pPr>
            <w:r>
              <w:t xml:space="preserve">3</w:t>
            </w:r>
          </w:p>
        </w:tc>
        <w:tc>
          <w:tcPr/>
          <w:p>
            <w:pPr>
              <w:pStyle w:val="Compact"/>
              <w:jc w:val="left"/>
            </w:pPr>
            <w:r>
              <w:t xml:space="preserve">Custom built-in wardrobe and cabinetry (Melbourne Ash veneer, soft-close hardware)</w:t>
            </w:r>
          </w:p>
        </w:tc>
        <w:tc>
          <w:tcPr/>
          <w:p>
            <w:pPr>
              <w:pStyle w:val="Compact"/>
              <w:jc w:val="left"/>
            </w:pPr>
            <w:r>
              <w:t xml:space="preserve">Master bedroom &amp; ensuite</w:t>
            </w:r>
          </w:p>
        </w:tc>
        <w:tc>
          <w:tcPr/>
          <w:p>
            <w:pPr>
              <w:pStyle w:val="Compact"/>
              <w:jc w:val="left"/>
            </w:pPr>
            <w:r>
              <w:t xml:space="preserve">Lot</w:t>
            </w:r>
          </w:p>
        </w:tc>
        <w:tc>
          <w:tcPr/>
          <w:p>
            <w:pPr>
              <w:pStyle w:val="Compact"/>
              <w:jc w:val="left"/>
            </w:pPr>
            <w:r>
              <w:t xml:space="preserve">1</w:t>
            </w:r>
          </w:p>
        </w:tc>
        <w:tc>
          <w:tcPr/>
          <w:p>
            <w:pPr>
              <w:pStyle w:val="Compact"/>
              <w:jc w:val="left"/>
            </w:pPr>
            <w:r>
              <w:t xml:space="preserve">6,800.00</w:t>
            </w:r>
          </w:p>
        </w:tc>
        <w:tc>
          <w:tcPr/>
          <w:p>
            <w:pPr>
              <w:pStyle w:val="Compact"/>
              <w:jc w:val="left"/>
            </w:pPr>
            <w:r>
              <w:t xml:space="preserve">6,800.00</w:t>
            </w:r>
          </w:p>
        </w:tc>
      </w:tr>
      <w:tr>
        <w:tc>
          <w:tcPr/>
          <w:p>
            <w:pPr>
              <w:pStyle w:val="Compact"/>
              <w:jc w:val="left"/>
            </w:pPr>
            <w:r>
              <w:t xml:space="preserve">4</w:t>
            </w:r>
          </w:p>
        </w:tc>
        <w:tc>
          <w:tcPr/>
          <w:p>
            <w:pPr>
              <w:pStyle w:val="Compact"/>
              <w:jc w:val="left"/>
            </w:pPr>
            <w:r>
              <w:t xml:space="preserve">External hardwood decking (Australian Spotted Gum, 140mm x 25mm) with balustrade</w:t>
            </w:r>
          </w:p>
        </w:tc>
        <w:tc>
          <w:tcPr/>
          <w:p>
            <w:pPr>
              <w:pStyle w:val="Compact"/>
              <w:jc w:val="left"/>
            </w:pPr>
            <w:r>
              <w:t xml:space="preserve">Rear entertainment area</w:t>
            </w:r>
          </w:p>
        </w:tc>
        <w:tc>
          <w:tcPr/>
          <w:p>
            <w:pPr>
              <w:pStyle w:val="Compact"/>
              <w:jc w:val="left"/>
            </w:pPr>
            <w:r>
              <w:t xml:space="preserve">m²</w:t>
            </w:r>
          </w:p>
        </w:tc>
        <w:tc>
          <w:tcPr/>
          <w:p>
            <w:pPr>
              <w:pStyle w:val="Compact"/>
              <w:jc w:val="left"/>
            </w:pPr>
            <w:r>
              <w:t xml:space="preserve">48</w:t>
            </w:r>
          </w:p>
        </w:tc>
        <w:tc>
          <w:tcPr/>
          <w:p>
            <w:pPr>
              <w:pStyle w:val="Compact"/>
              <w:jc w:val="left"/>
            </w:pPr>
            <w:r>
              <w:t xml:space="preserve">185.00</w:t>
            </w:r>
          </w:p>
        </w:tc>
        <w:tc>
          <w:tcPr/>
          <w:p>
            <w:pPr>
              <w:pStyle w:val="Compact"/>
              <w:jc w:val="left"/>
            </w:pPr>
            <w:r>
              <w:t xml:space="preserve">8,880.00</w:t>
            </w:r>
          </w:p>
        </w:tc>
      </w:tr>
      <w:tr>
        <w:tc>
          <w:tcPr/>
          <w:p>
            <w:pPr>
              <w:pStyle w:val="Compact"/>
              <w:jc w:val="left"/>
            </w:pPr>
            <w:r>
              <w:t xml:space="preserve">5</w:t>
            </w:r>
          </w:p>
        </w:tc>
        <w:tc>
          <w:tcPr/>
          <w:p>
            <w:pPr>
              <w:pStyle w:val="Compact"/>
              <w:jc w:val="left"/>
            </w:pPr>
            <w:r>
              <w:t xml:space="preserve">Staircase construction – floating timber treads with steel stringer (Blackbutt, 38 risers)</w:t>
            </w:r>
          </w:p>
        </w:tc>
        <w:tc>
          <w:tcPr/>
          <w:p>
            <w:pPr>
              <w:pStyle w:val="Compact"/>
              <w:jc w:val="left"/>
            </w:pPr>
            <w:r>
              <w:t xml:space="preserve">Internal main staircase</w:t>
            </w:r>
          </w:p>
        </w:tc>
        <w:tc>
          <w:tcPr/>
          <w:p>
            <w:pPr>
              <w:pStyle w:val="Compact"/>
              <w:jc w:val="left"/>
            </w:pPr>
            <w:r>
              <w:t xml:space="preserve">Lot</w:t>
            </w:r>
          </w:p>
        </w:tc>
        <w:tc>
          <w:tcPr/>
          <w:p>
            <w:pPr>
              <w:pStyle w:val="Compact"/>
              <w:jc w:val="left"/>
            </w:pPr>
            <w:r>
              <w:t xml:space="preserve">1</w:t>
            </w:r>
          </w:p>
        </w:tc>
        <w:tc>
          <w:tcPr/>
          <w:p>
            <w:pPr>
              <w:pStyle w:val="Compact"/>
              <w:jc w:val="left"/>
            </w:pPr>
            <w:r>
              <w:t xml:space="preserve">12,400.00</w:t>
            </w:r>
          </w:p>
        </w:tc>
        <w:tc>
          <w:tcPr/>
          <w:p>
            <w:pPr>
              <w:pStyle w:val="Compact"/>
              <w:jc w:val="left"/>
            </w:pPr>
            <w:r>
              <w:t xml:space="preserve">12,400.00</w:t>
            </w:r>
          </w:p>
        </w:tc>
      </w:tr>
      <w:tr>
        <w:tc>
          <w:tcPr/>
          <w:p>
            <w:pPr>
              <w:pStyle w:val="Compact"/>
              <w:jc w:val="left"/>
            </w:pPr>
            <w:r>
              <w:t xml:space="preserve">6</w:t>
            </w:r>
          </w:p>
        </w:tc>
        <w:tc>
          <w:tcPr/>
          <w:p>
            <w:pPr>
              <w:pStyle w:val="Compact"/>
              <w:jc w:val="left"/>
            </w:pPr>
            <w:r>
              <w:t xml:space="preserve">Roof lining and batten installation (19mm MGP10 battens, 450mm centres)</w:t>
            </w:r>
          </w:p>
        </w:tc>
        <w:tc>
          <w:tcPr/>
          <w:p>
            <w:pPr>
              <w:pStyle w:val="Compact"/>
              <w:jc w:val="left"/>
            </w:pPr>
            <w:r>
              <w:t xml:space="preserve">Full roof envelope</w:t>
            </w:r>
          </w:p>
        </w:tc>
        <w:tc>
          <w:tcPr/>
          <w:p>
            <w:pPr>
              <w:pStyle w:val="Compact"/>
              <w:jc w:val="left"/>
            </w:pPr>
            <w:r>
              <w:t xml:space="preserve">m²</w:t>
            </w:r>
          </w:p>
        </w:tc>
        <w:tc>
          <w:tcPr/>
          <w:p>
            <w:pPr>
              <w:pStyle w:val="Compact"/>
              <w:jc w:val="left"/>
            </w:pPr>
            <w:r>
              <w:t xml:space="preserve">210</w:t>
            </w:r>
          </w:p>
        </w:tc>
        <w:tc>
          <w:tcPr/>
          <w:p>
            <w:pPr>
              <w:pStyle w:val="Compact"/>
              <w:jc w:val="left"/>
            </w:pPr>
            <w:r>
              <w:t xml:space="preserve">28.50</w:t>
            </w:r>
          </w:p>
        </w:tc>
        <w:tc>
          <w:tcPr/>
          <w:p>
            <w:pPr>
              <w:pStyle w:val="Compact"/>
              <w:jc w:val="left"/>
            </w:pPr>
            <w:r>
              <w:t xml:space="preserve">5,985.00</w:t>
            </w:r>
          </w:p>
        </w:tc>
      </w:tr>
      <w:tr>
        <w:tc>
          <w:tcPr/>
          <w:p>
            <w:pPr>
              <w:pStyle w:val="Compact"/>
              <w:jc w:val="left"/>
            </w:pPr>
            <w:r>
              <w:t xml:space="preserve">7</w:t>
            </w:r>
          </w:p>
        </w:tc>
        <w:tc>
          <w:tcPr/>
          <w:p>
            <w:pPr>
              <w:pStyle w:val="Compact"/>
              <w:jc w:val="left"/>
            </w:pPr>
            <w:r>
              <w:t xml:space="preserve">External joinery – front door, window frames, and letterbox (Australian Red Ironbark)</w:t>
            </w:r>
          </w:p>
        </w:tc>
        <w:tc>
          <w:tcPr/>
          <w:p>
            <w:pPr>
              <w:pStyle w:val="Compact"/>
              <w:jc w:val="left"/>
            </w:pPr>
            <w:r>
              <w:t xml:space="preserve">External envelope</w:t>
            </w:r>
          </w:p>
        </w:tc>
        <w:tc>
          <w:tcPr/>
          <w:p>
            <w:pPr>
              <w:pStyle w:val="Compact"/>
              <w:jc w:val="left"/>
            </w:pPr>
            <w:r>
              <w:t xml:space="preserve">Lot</w:t>
            </w:r>
          </w:p>
        </w:tc>
        <w:tc>
          <w:tcPr/>
          <w:p>
            <w:pPr>
              <w:pStyle w:val="Compact"/>
              <w:jc w:val="left"/>
            </w:pPr>
            <w:r>
              <w:t xml:space="preserve">1</w:t>
            </w:r>
          </w:p>
        </w:tc>
        <w:tc>
          <w:tcPr/>
          <w:p>
            <w:pPr>
              <w:pStyle w:val="Compact"/>
              <w:jc w:val="left"/>
            </w:pPr>
            <w:r>
              <w:t xml:space="preserve">9,750.00</w:t>
            </w:r>
          </w:p>
        </w:tc>
        <w:tc>
          <w:tcPr/>
          <w:p>
            <w:pPr>
              <w:pStyle w:val="Compact"/>
              <w:jc w:val="left"/>
            </w:pPr>
            <w:r>
              <w:t xml:space="preserve">9,750.00</w:t>
            </w:r>
          </w:p>
        </w:tc>
      </w:tr>
      <w:tr>
        <w:tc>
          <w:tcPr/>
          <w:p>
            <w:pPr>
              <w:pStyle w:val="Compact"/>
              <w:jc w:val="left"/>
            </w:pPr>
            <w:r>
              <w:t xml:space="preserve">8</w:t>
            </w:r>
          </w:p>
        </w:tc>
        <w:tc>
          <w:tcPr/>
          <w:p>
            <w:pPr>
              <w:pStyle w:val="Compact"/>
              <w:jc w:val="left"/>
            </w:pPr>
            <w:r>
              <w:t xml:space="preserve">Site preparation, waste removal, and final clean-up in compliance with Brisbane City Council waste management guidelines</w:t>
            </w:r>
          </w:p>
        </w:tc>
        <w:tc>
          <w:tcPr/>
          <w:p>
            <w:pPr>
              <w:pStyle w:val="Compact"/>
              <w:jc w:val="left"/>
            </w:pPr>
            <w:r>
              <w:t xml:space="preserve">Entire site</w:t>
            </w:r>
          </w:p>
        </w:tc>
        <w:tc>
          <w:tcPr/>
          <w:p>
            <w:pPr>
              <w:pStyle w:val="Compact"/>
              <w:jc w:val="left"/>
            </w:pPr>
            <w:r>
              <w:t xml:space="preserve">Lot</w:t>
            </w:r>
          </w:p>
        </w:tc>
        <w:tc>
          <w:tcPr/>
          <w:p>
            <w:pPr>
              <w:pStyle w:val="Compact"/>
              <w:jc w:val="left"/>
            </w:pPr>
            <w:r>
              <w:t xml:space="preserve">1</w:t>
            </w:r>
          </w:p>
        </w:tc>
        <w:tc>
          <w:tcPr/>
          <w:p>
            <w:pPr>
              <w:pStyle w:val="Compact"/>
              <w:jc w:val="left"/>
            </w:pPr>
            <w:r>
              <w:t xml:space="preserve">2,200.00</w:t>
            </w:r>
          </w:p>
        </w:tc>
        <w:tc>
          <w:tcPr/>
          <w:p>
            <w:pPr>
              <w:pStyle w:val="Compact"/>
              <w:jc w:val="left"/>
            </w:pPr>
            <w:r>
              <w:t xml:space="preserve">2,200.00</w:t>
            </w:r>
          </w:p>
        </w:tc>
      </w:tr>
      <w:tr>
        <w:tc>
          <w:tcPr>
            <w:gridSpan w:val="6"/>
          </w:tcPr>
          <w:p>
            <w:pPr>
              <w:pStyle w:val="Compact"/>
              <w:jc w:val="right"/>
            </w:pPr>
            <w:r>
              <w:t xml:space="preserve">Subtotal (AUD)</w:t>
            </w:r>
          </w:p>
        </w:tc>
        <w:tc>
          <w:tcPr/>
          <w:p>
            <w:pPr>
              <w:pStyle w:val="Compact"/>
              <w:jc w:val="left"/>
            </w:pPr>
            <w:r>
              <w:t xml:space="preserve">88,795.00</w:t>
            </w:r>
          </w:p>
        </w:tc>
      </w:tr>
      <w:tr>
        <w:tc>
          <w:tcPr>
            <w:gridSpan w:val="6"/>
          </w:tcPr>
          <w:p>
            <w:pPr>
              <w:pStyle w:val="Compact"/>
              <w:jc w:val="right"/>
            </w:pPr>
            <w:r>
              <w:t xml:space="preserve">GST (10%)</w:t>
            </w:r>
          </w:p>
        </w:tc>
        <w:tc>
          <w:tcPr/>
          <w:p>
            <w:pPr>
              <w:pStyle w:val="Compact"/>
              <w:jc w:val="left"/>
            </w:pPr>
            <w:r>
              <w:t xml:space="preserve">8,879.50</w:t>
            </w:r>
          </w:p>
        </w:tc>
      </w:tr>
      <w:tr>
        <w:tc>
          <w:tcPr>
            <w:gridSpan w:val="6"/>
          </w:tcPr>
          <w:p>
            <w:pPr>
              <w:pStyle w:val="Compact"/>
              <w:jc w:val="right"/>
            </w:pPr>
            <w:r>
              <w:t xml:space="preserve">TOTAL AMOUNT DUE (AUD)</w:t>
            </w:r>
          </w:p>
        </w:tc>
        <w:tc>
          <w:tcPr/>
          <w:p>
            <w:pPr>
              <w:pStyle w:val="Compact"/>
              <w:jc w:val="left"/>
            </w:pPr>
            <w:r>
              <w:t xml:space="preserve">97,674.50</w:t>
            </w:r>
          </w:p>
        </w:tc>
      </w:tr>
    </w:tbl>
    <w:bookmarkEnd w:id="22"/>
    <w:bookmarkStart w:id="23" w:name="payment-terms"/>
    <w:p>
      <w:pPr>
        <w:pStyle w:val="Heading2"/>
      </w:pPr>
      <w:r>
        <w:t xml:space="preserve">3. Payment Terms</w:t>
      </w:r>
    </w:p>
    <w:p>
      <w:pPr>
        <w:pStyle w:val="FirstParagraph"/>
      </w:pPr>
      <w:r>
        <w:t xml:space="preserve">Payment for this Purchase Order shall be made in accordance with the following milestone schedule, all amounts in Australian Dollars (AUD) and inclusive of GST where applicable:</w:t>
      </w:r>
    </w:p>
    <w:p>
      <w:pPr>
        <w:numPr>
          <w:ilvl w:val="0"/>
          <w:numId w:val="1001"/>
        </w:numPr>
        <w:pStyle w:val="Compact"/>
      </w:pPr>
      <w:r>
        <w:rPr>
          <w:bCs/>
          <w:b/>
        </w:rPr>
        <w:t xml:space="preserve">Milestone 1 (30% – AUD 29,302.35):</w:t>
      </w:r>
      <w:r>
        <w:t xml:space="preserve"> </w:t>
      </w:r>
      <w:r>
        <w:t xml:space="preserve">Due upon commencement of structural framing works on site, Australia Brisbane, Eagle Farm. Payment to be made within 14 calendar days of the Carpenter's first progress invoice.</w:t>
      </w:r>
    </w:p>
    <w:p>
      <w:pPr>
        <w:numPr>
          <w:ilvl w:val="0"/>
          <w:numId w:val="1001"/>
        </w:numPr>
        <w:pStyle w:val="Compact"/>
      </w:pPr>
      <w:r>
        <w:rPr>
          <w:bCs/>
          <w:b/>
        </w:rPr>
        <w:t xml:space="preserve">Milestone 2 (35% – AUD 34,186.08):</w:t>
      </w:r>
      <w:r>
        <w:t xml:space="preserve"> </w:t>
      </w:r>
      <w:r>
        <w:t xml:space="preserve">Due upon completion of all internal plasterboard partitions and roof lining, subject to Buyer's site inspection and written approval.</w:t>
      </w:r>
    </w:p>
    <w:p>
      <w:pPr>
        <w:numPr>
          <w:ilvl w:val="0"/>
          <w:numId w:val="1001"/>
        </w:numPr>
        <w:pStyle w:val="Compact"/>
      </w:pPr>
      <w:r>
        <w:rPr>
          <w:bCs/>
          <w:b/>
        </w:rPr>
        <w:t xml:space="preserve">Milestone 3 (25% – AUD 24,418.63):</w:t>
      </w:r>
      <w:r>
        <w:t xml:space="preserve"> </w:t>
      </w:r>
      <w:r>
        <w:t xml:space="preserve">Due upon completion of all custom joinery, staircase, and external hardwood decking installation.</w:t>
      </w:r>
    </w:p>
    <w:p>
      <w:pPr>
        <w:numPr>
          <w:ilvl w:val="0"/>
          <w:numId w:val="1001"/>
        </w:numPr>
        <w:pStyle w:val="Compact"/>
      </w:pPr>
      <w:r>
        <w:rPr>
          <w:bCs/>
          <w:b/>
        </w:rPr>
        <w:t xml:space="preserve">Milestone 4 (10% – AUD 9,767.45):</w:t>
      </w:r>
      <w:r>
        <w:t xml:space="preserve"> </w:t>
      </w:r>
      <w:r>
        <w:t xml:space="preserve">Due upon final handover, completion of all rectification items, and issuance of the Carpenter's final statutory declaration of completion.</w:t>
      </w:r>
    </w:p>
    <w:p>
      <w:pPr>
        <w:pStyle w:val="FirstParagraph"/>
      </w:pPr>
      <w:r>
        <w:t xml:space="preserve">All payments shall be made via direct bank transfer to the Carpenter's nominated account. The Buyer reserves the right to withhold payment for any defective or incomplete work until the Carpenter has rectified the matter to the Buyer's reasonable satisfaction.</w:t>
      </w:r>
    </w:p>
    <w:bookmarkEnd w:id="23"/>
    <w:bookmarkStart w:id="24" w:name="terms-and-conditions"/>
    <w:p>
      <w:pPr>
        <w:pStyle w:val="Heading2"/>
      </w:pPr>
      <w:r>
        <w:t xml:space="preserve">4. Terms and Conditions</w:t>
      </w:r>
    </w:p>
    <w:p>
      <w:pPr>
        <w:numPr>
          <w:ilvl w:val="0"/>
          <w:numId w:val="1002"/>
        </w:numPr>
        <w:pStyle w:val="Compact"/>
      </w:pPr>
      <w:r>
        <w:rPr>
          <w:bCs/>
          <w:b/>
        </w:rPr>
        <w:t xml:space="preserve">4.1</w:t>
      </w:r>
      <w:r>
        <w:t xml:space="preserve"> </w:t>
      </w:r>
      <w:r>
        <w:t xml:space="preserve">This Purchase Order is governed by the laws of the State of Queensland, Australia Brisbane, and the Commonwealth of Australia. Any disputes arising from this Purchase Order shall be resolved in the courts of Queensland or by mediation through the Queensland Building and Construction Commission (QBCC).</w:t>
      </w:r>
    </w:p>
    <w:p>
      <w:pPr>
        <w:numPr>
          <w:ilvl w:val="0"/>
          <w:numId w:val="1002"/>
        </w:numPr>
        <w:pStyle w:val="Compact"/>
      </w:pPr>
      <w:r>
        <w:rPr>
          <w:bCs/>
          <w:b/>
        </w:rPr>
        <w:t xml:space="preserve">4.2</w:t>
      </w:r>
      <w:r>
        <w:t xml:space="preserve"> </w:t>
      </w:r>
      <w:r>
        <w:t xml:space="preserve">The Carpenter warrants that all work performed under this Purchase Order shall comply with the National Construction Code (NCC) 2022, AS 1684 (Residential Timber-Framed Construction), AS 1170 (Structural Design Actions), and all Brisbane City Council development permit conditions.</w:t>
      </w:r>
    </w:p>
    <w:p>
      <w:pPr>
        <w:numPr>
          <w:ilvl w:val="0"/>
          <w:numId w:val="1002"/>
        </w:numPr>
        <w:pStyle w:val="Compact"/>
      </w:pPr>
      <w:r>
        <w:rPr>
          <w:bCs/>
          <w:b/>
        </w:rPr>
        <w:t xml:space="preserve">4.3</w:t>
      </w:r>
      <w:r>
        <w:t xml:space="preserve"> </w:t>
      </w:r>
      <w:r>
        <w:t xml:space="preserve">The Carpenter shall maintain a minimum of $20,000,000 in public liability insurance and $10,000,000 in professional indemnity insurance throughout the duration of this Purchase Order. Certificates of insurance must be provided to the Buyer prior to commencing works on the Australia Brisbane site.</w:t>
      </w:r>
    </w:p>
    <w:p>
      <w:pPr>
        <w:numPr>
          <w:ilvl w:val="0"/>
          <w:numId w:val="1002"/>
        </w:numPr>
        <w:pStyle w:val="Compact"/>
      </w:pPr>
      <w:r>
        <w:rPr>
          <w:bCs/>
          <w:b/>
        </w:rPr>
        <w:t xml:space="preserve">4.4</w:t>
      </w:r>
      <w:r>
        <w:t xml:space="preserve"> </w:t>
      </w:r>
      <w:r>
        <w:t xml:space="preserve">The Carpenter shall ensure all workers on site hold valid White Cards (General Construction Induction) and that all timber materials are sourced from legally managed Australian forests, compliant with the Illegal Logging Prohibition Act 2012 (Cth).</w:t>
      </w:r>
    </w:p>
    <w:p>
      <w:pPr>
        <w:numPr>
          <w:ilvl w:val="0"/>
          <w:numId w:val="1002"/>
        </w:numPr>
        <w:pStyle w:val="Compact"/>
      </w:pPr>
      <w:r>
        <w:rPr>
          <w:bCs/>
          <w:b/>
        </w:rPr>
        <w:t xml:space="preserve">4.5</w:t>
      </w:r>
      <w:r>
        <w:t xml:space="preserve"> </w:t>
      </w:r>
      <w:r>
        <w:t xml:space="preserve">The Carpenter shall adhere to the site-specific Health and Safety Management Plan (HSMP) prepared by the Buyer. All safety incidents must be reported to the Buyer's site manager within 24 hours and to Safe Work Queensland within the statutory timeframe.</w:t>
      </w:r>
    </w:p>
    <w:p>
      <w:pPr>
        <w:numPr>
          <w:ilvl w:val="0"/>
          <w:numId w:val="1002"/>
        </w:numPr>
        <w:pStyle w:val="Compact"/>
      </w:pPr>
      <w:r>
        <w:rPr>
          <w:bCs/>
          <w:b/>
        </w:rPr>
        <w:t xml:space="preserve">4.6</w:t>
      </w:r>
      <w:r>
        <w:t xml:space="preserve"> </w:t>
      </w:r>
      <w:r>
        <w:t xml:space="preserve">The Carpenter shall not subcontract any portion of the work described in this Purchase Order without the prior written consent of the Buyer. Any approved subcontractor must be registered with the QBCC where required.</w:t>
      </w:r>
    </w:p>
    <w:p>
      <w:pPr>
        <w:numPr>
          <w:ilvl w:val="0"/>
          <w:numId w:val="1002"/>
        </w:numPr>
        <w:pStyle w:val="Compact"/>
      </w:pPr>
      <w:r>
        <w:rPr>
          <w:bCs/>
          <w:b/>
        </w:rPr>
        <w:t xml:space="preserve">4.7</w:t>
      </w:r>
      <w:r>
        <w:t xml:space="preserve"> </w:t>
      </w:r>
      <w:r>
        <w:t xml:space="preserve">The Carpenter shall provide a minimum 12-month workmanship warranty on all carpentry works from the date of practical completion, in addition to any statutory warranties under the Australian Consumer Law 2010 (Cth).</w:t>
      </w:r>
    </w:p>
    <w:p>
      <w:pPr>
        <w:numPr>
          <w:ilvl w:val="0"/>
          <w:numId w:val="1002"/>
        </w:numPr>
        <w:pStyle w:val="Compact"/>
      </w:pPr>
      <w:r>
        <w:rPr>
          <w:bCs/>
          <w:b/>
        </w:rPr>
        <w:t xml:space="preserve">4.8</w:t>
      </w:r>
      <w:r>
        <w:t xml:space="preserve"> </w:t>
      </w:r>
      <w:r>
        <w:t xml:space="preserve">The Carpenter shall maintain the Australia Brisbane site in a clean and orderly condition at all times, removing all offcuts, packaging, and debris by the end of each working day in accordance with Brisbane City Council's waste and recycling regulations.</w:t>
      </w:r>
    </w:p>
    <w:p>
      <w:pPr>
        <w:numPr>
          <w:ilvl w:val="0"/>
          <w:numId w:val="1002"/>
        </w:numPr>
        <w:pStyle w:val="Compact"/>
      </w:pPr>
      <w:r>
        <w:rPr>
          <w:bCs/>
          <w:b/>
        </w:rPr>
        <w:t xml:space="preserve">4.9</w:t>
      </w:r>
      <w:r>
        <w:t xml:space="preserve"> </w:t>
      </w:r>
      <w:r>
        <w:t xml:space="preserve">Time is of the essence. The Carpenter shall complete all works by 29 August 2025. For each calendar day of unexcused delay beyond this date, the Carpenter shall pay liquidated damages of AUD 1,500 per day, up to a maximum of AUD 30,000.</w:t>
      </w:r>
    </w:p>
    <w:p>
      <w:pPr>
        <w:numPr>
          <w:ilvl w:val="0"/>
          <w:numId w:val="1002"/>
        </w:numPr>
        <w:pStyle w:val="Compact"/>
      </w:pPr>
      <w:r>
        <w:rPr>
          <w:bCs/>
          <w:b/>
        </w:rPr>
        <w:t xml:space="preserve">4.10</w:t>
      </w:r>
      <w:r>
        <w:t xml:space="preserve"> </w:t>
      </w:r>
      <w:r>
        <w:t xml:space="preserve">This Purchase Order may only be varied by a written variation order signed by both the Buyer's authorised representative and the Carpenter. No verbal instructions shall constitute a valid variation to this Purchase Order.</w:t>
      </w:r>
    </w:p>
    <w:bookmarkEnd w:id="24"/>
    <w:bookmarkStart w:id="25" w:name="acceptance-and-authorisation"/>
    <w:p>
      <w:pPr>
        <w:pStyle w:val="Heading2"/>
      </w:pPr>
      <w:r>
        <w:t xml:space="preserve">5. Acceptance and Authorisation</w:t>
      </w:r>
    </w:p>
    <w:p>
      <w:pPr>
        <w:pStyle w:val="FirstParagraph"/>
      </w:pPr>
      <w:r>
        <w:t xml:space="preserve">By signing below, both parties acknowledge that they have read, understood, and agree to be bound by all terms and conditions set out in this Purchase Order for the Carpenter's services in Australia Brisbane.</w:t>
      </w:r>
    </w:p>
    <w:p>
      <w:pPr>
        <w:pStyle w:val="BodyText"/>
      </w:pPr>
      <w:r>
        <w:rPr>
          <w:bCs/>
          <w:b/>
        </w:rPr>
        <w:t xml:space="preserve">For and on behalf of the Buyer:</w:t>
      </w:r>
    </w:p>
    <w:p>
      <w:pPr>
        <w:pStyle w:val="BodyText"/>
      </w:pPr>
      <w:r>
        <w:t xml:space="preserve">Brisbane Residential Construction Group Pty Ltd</w:t>
      </w:r>
    </w:p>
    <w:p>
      <w:pPr>
        <w:pStyle w:val="BodyText"/>
      </w:pPr>
      <w:r>
        <w:t xml:space="preserve">Name: Sarah Kowalski</w:t>
      </w:r>
    </w:p>
    <w:p>
      <w:pPr>
        <w:pStyle w:val="BodyText"/>
      </w:pPr>
      <w:r>
        <w:t xml:space="preserve">Title: Procurement Director</w:t>
      </w:r>
    </w:p>
    <w:p>
      <w:pPr>
        <w:pStyle w:val="BodyText"/>
      </w:pPr>
      <w:r>
        <w:t xml:space="preserve">Signature: ___________________________</w:t>
      </w:r>
    </w:p>
    <w:p>
      <w:pPr>
        <w:pStyle w:val="BodyText"/>
      </w:pPr>
      <w:r>
        <w:t xml:space="preserve">Date: 14 June 2025</w:t>
      </w:r>
    </w:p>
    <w:p>
      <w:pPr>
        <w:pStyle w:val="BodyText"/>
      </w:pPr>
      <w:r>
        <w:rPr>
          <w:bCs/>
          <w:b/>
        </w:rPr>
        <w:t xml:space="preserve">For and on behalf of the Carpenter:</w:t>
      </w:r>
    </w:p>
    <w:p>
      <w:pPr>
        <w:pStyle w:val="BodyText"/>
      </w:pPr>
      <w:r>
        <w:t xml:space="preserve">Mitchell &amp; Sons Carpentry Services</w:t>
      </w:r>
    </w:p>
    <w:p>
      <w:pPr>
        <w:pStyle w:val="BodyText"/>
      </w:pPr>
      <w:r>
        <w:t xml:space="preserve">Name: David Mitchell</w:t>
      </w:r>
    </w:p>
    <w:p>
      <w:pPr>
        <w:pStyle w:val="BodyText"/>
      </w:pPr>
      <w:r>
        <w:t xml:space="preserve">Title: Director / Master Carpenter</w:t>
      </w:r>
    </w:p>
    <w:p>
      <w:pPr>
        <w:pStyle w:val="BodyText"/>
      </w:pPr>
      <w:r>
        <w:t xml:space="preserve">Signature: ___________________________</w:t>
      </w:r>
    </w:p>
    <w:p>
      <w:pPr>
        <w:pStyle w:val="BodyText"/>
      </w:pPr>
      <w:r>
        <w:t xml:space="preserve">Date: 14 June 2025</w:t>
      </w:r>
    </w:p>
    <w:p>
      <w:pPr>
        <w:pStyle w:val="BodyText"/>
      </w:pPr>
      <w:r>
        <w:t xml:space="preserve">This Purchase Order (PO-2025-BRIS-00482) was issued by Brisbane Residential Construction Group Pty Ltd for Carpenter services in Australia Brisbane. This document is valid for 30 days from the date of issue. For queries, contact the Buyer's procurement department at procurement@briscogroup.com.au. © 2025 Brisbane Residential Construction Group Pty Ltd. All rights reserved.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Carpenter Services - Australia Brisbane</dc:title>
  <dc:creator/>
  <dc:language>en</dc:language>
  <cp:keywords/>
  <dcterms:created xsi:type="dcterms:W3CDTF">2026-10-10T06:26:08Z</dcterms:created>
  <dcterms:modified xsi:type="dcterms:W3CDTF">2026-10-10T06:26:08Z</dcterms:modified>
</cp:coreProperties>
</file>

<file path=docProps/custom.xml><?xml version="1.0" encoding="utf-8"?>
<Properties xmlns="http://schemas.openxmlformats.org/officeDocument/2006/custom-properties" xmlns:vt="http://schemas.openxmlformats.org/officeDocument/2006/docPropsVTypes"/>
</file>