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rPr>
          <w:bCs/>
          <w:b/>
        </w:rPr>
        <w:t xml:space="preserve">Harbourview Construction &amp; Development Pty Ltd</w:t>
      </w:r>
    </w:p>
    <w:p>
      <w:pPr>
        <w:pStyle w:val="BodyText"/>
      </w:pPr>
      <w:r>
        <w:t xml:space="preserve">42 George Street, Sydney NSW 2000, Australia Sydney</w:t>
      </w:r>
    </w:p>
    <w:p>
      <w:pPr>
        <w:pStyle w:val="BodyText"/>
      </w:pPr>
      <w:r>
        <w:t xml:space="preserve">ABN: 48 123 456 789 | ACN: 012 345 678</w:t>
      </w:r>
    </w:p>
    <w:p>
      <w:pPr>
        <w:pStyle w:val="BodyText"/>
      </w:pPr>
      <w:r>
        <w:t xml:space="preserve">Phone: +61 2 9300 1234 | Email: procurement@harbourviewconstruction.com.au</w:t>
      </w:r>
    </w:p>
    <w:bookmarkEnd w:id="20"/>
    <w:p>
      <w:pPr>
        <w:pStyle w:val="BodyText"/>
      </w:pPr>
      <w:r>
        <w:rPr>
          <w:bCs/>
          <w:b/>
        </w:rPr>
        <w:t xml:space="preserve">Purchase Order No.:</w:t>
      </w:r>
      <w:r>
        <w:t xml:space="preserve"> </w:t>
      </w:r>
      <w:r>
        <w:t xml:space="preserve">PO-2025-04782</w:t>
      </w:r>
    </w:p>
    <w:p>
      <w:pPr>
        <w:pStyle w:val="BodyText"/>
      </w:pPr>
      <w:r>
        <w:rPr>
          <w:bCs/>
          <w:b/>
        </w:rPr>
        <w:t xml:space="preserve">Date of Issue:</w:t>
      </w:r>
      <w:r>
        <w:t xml:space="preserve"> </w:t>
      </w:r>
      <w:r>
        <w:t xml:space="preserve">14 June 2025</w:t>
      </w:r>
    </w:p>
    <w:p>
      <w:pPr>
        <w:pStyle w:val="BodyText"/>
      </w:pPr>
      <w:r>
        <w:rPr>
          <w:bCs/>
          <w:b/>
        </w:rPr>
        <w:t xml:space="preserve">Required Completion Date:</w:t>
      </w:r>
      <w:r>
        <w:t xml:space="preserve"> </w:t>
      </w:r>
      <w:r>
        <w:t xml:space="preserve">22 August 2025</w:t>
      </w:r>
    </w:p>
    <w:p>
      <w:pPr>
        <w:pStyle w:val="BodyText"/>
      </w:pPr>
      <w:r>
        <w:rPr>
          <w:bCs/>
          <w:b/>
        </w:rPr>
        <w:t xml:space="preserve">Supplier / Carpenter:</w:t>
      </w:r>
      <w:r>
        <w:t xml:space="preserve"> </w:t>
      </w:r>
      <w:r>
        <w:t xml:space="preserve">Mitchell &amp; Sons Carpentry Services</w:t>
      </w:r>
    </w:p>
    <w:p>
      <w:pPr>
        <w:pStyle w:val="BodyText"/>
      </w:pPr>
      <w:r>
        <w:rPr>
          <w:bCs/>
          <w:b/>
        </w:rPr>
        <w:t xml:space="preserve">ABN:</w:t>
      </w:r>
      <w:r>
        <w:t xml:space="preserve"> </w:t>
      </w:r>
      <w:r>
        <w:t xml:space="preserve">52 987 654 321</w:t>
      </w:r>
    </w:p>
    <w:p>
      <w:pPr>
        <w:pStyle w:val="BodyText"/>
      </w:pPr>
      <w:r>
        <w:rPr>
          <w:bCs/>
          <w:b/>
        </w:rPr>
        <w:t xml:space="preserve">Address:</w:t>
      </w:r>
      <w:r>
        <w:t xml:space="preserve"> </w:t>
      </w:r>
      <w:r>
        <w:t xml:space="preserve">18 Parramatta Road, Leichhardt NSW 2040, Australia Sydney</w:t>
      </w:r>
    </w:p>
    <w:p>
      <w:pPr>
        <w:pStyle w:val="BodyText"/>
      </w:pPr>
      <w:r>
        <w:rPr>
          <w:bCs/>
          <w:b/>
        </w:rPr>
        <w:t xml:space="preserve">Contact:</w:t>
      </w:r>
      <w:r>
        <w:t xml:space="preserve"> </w:t>
      </w:r>
      <w:r>
        <w:t xml:space="preserve">David Mitchell, Master Carpenter</w:t>
      </w:r>
    </w:p>
    <w:bookmarkStart w:id="21" w:name="X64c05455f712d191677c4ee100bcdf1fa282f03"/>
    <w:p>
      <w:pPr>
        <w:pStyle w:val="Heading2"/>
      </w:pPr>
      <w:r>
        <w:t xml:space="preserve">1. Description of Purchase Order and Scope of Work</w:t>
      </w:r>
    </w:p>
    <w:p>
      <w:pPr>
        <w:pStyle w:val="FirstParagraph"/>
      </w:pPr>
      <w:r>
        <w:t xml:space="preserve">This Purchase Order is issued by Harbourview Construction &amp; Development Pty Ltd (hereinafter referred to as the "Purchaser") to Mitchell &amp; Sons Carpentry Services (hereinafter referred to as the "Carpenter" or "Supplier") for the provision of specialist carpentry services, materials, and labour in connection with the construction of a residential development project located at 78-82 Anzac Parade, Bondi Junction, Australia Sydney. This Purchase Order constitutes a binding agreement between the Purchaser and the Carpenter upon acceptance and signature by both parties.</w:t>
      </w:r>
    </w:p>
    <w:p>
      <w:pPr>
        <w:pStyle w:val="BodyText"/>
      </w:pPr>
      <w:r>
        <w:t xml:space="preserve">The Carpenter shall be responsible for all structural and decorative carpentry works as detailed in the line items below. The Carpenter warrants that all work shall be performed in accordance with the National Construction Code (NCC), the Building Code of Australia, and all applicable regulations of the New South Wales Fair Trading and NSW Fair Trading authority. The Carpenter confirms that they hold a valid Master Carpenter licence (Licence No. CDB 123456) issued by the NSW Fair Trading authority and maintains a minimum of $20,000,000 in public liability insurance and $10,000,000 in professional indemnity insurance throughout the duration of this Purchase Order.</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Carpenter Services / Materials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Structural timber framing for two-storey residential dwelling (including floor joists, wall studs, roof trusses, and lintels) – all materials and labour by the Carpenter</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Installation of hardwood flooring (Australian Blackbutt, 19mm tongue-and-groove) across 210 square metres of internal living areas – supply and installation by the Carpenter</w:t>
            </w:r>
          </w:p>
        </w:tc>
        <w:tc>
          <w:tcPr/>
          <w:p>
            <w:pPr>
              <w:pStyle w:val="Compact"/>
              <w:jc w:val="left"/>
            </w:pPr>
            <w:r>
              <w:t xml:space="preserve">210</w:t>
            </w:r>
          </w:p>
        </w:tc>
        <w:tc>
          <w:tcPr/>
          <w:p>
            <w:pPr>
              <w:pStyle w:val="Compact"/>
              <w:jc w:val="left"/>
            </w:pPr>
            <w:r>
              <w:t xml:space="preserve">m²</w:t>
            </w:r>
          </w:p>
        </w:tc>
        <w:tc>
          <w:tcPr/>
          <w:p>
            <w:pPr>
              <w:pStyle w:val="Compact"/>
              <w:jc w:val="left"/>
            </w:pPr>
            <w:r>
              <w:t xml:space="preserve">185.00</w:t>
            </w:r>
          </w:p>
        </w:tc>
        <w:tc>
          <w:tcPr/>
          <w:p>
            <w:pPr>
              <w:pStyle w:val="Compact"/>
              <w:jc w:val="left"/>
            </w:pPr>
            <w:r>
              <w:t xml:space="preserve">38,850.00</w:t>
            </w:r>
          </w:p>
        </w:tc>
      </w:tr>
      <w:tr>
        <w:tc>
          <w:tcPr/>
          <w:p>
            <w:pPr>
              <w:pStyle w:val="Compact"/>
              <w:jc w:val="left"/>
            </w:pPr>
            <w:r>
              <w:t xml:space="preserve">3</w:t>
            </w:r>
          </w:p>
        </w:tc>
        <w:tc>
          <w:tcPr/>
          <w:p>
            <w:pPr>
              <w:pStyle w:val="Compact"/>
              <w:jc w:val="left"/>
            </w:pPr>
            <w:r>
              <w:t xml:space="preserve">Custom built-in wardrobe and cabinetry (Melbourne Ash veneer, soft-close hardware) – 14 units across master and secondary bedrooms – design, fabrication, and installation by the Carpenter</w:t>
            </w:r>
          </w:p>
        </w:tc>
        <w:tc>
          <w:tcPr/>
          <w:p>
            <w:pPr>
              <w:pStyle w:val="Compact"/>
              <w:jc w:val="left"/>
            </w:pPr>
            <w:r>
              <w:t xml:space="preserve">14</w:t>
            </w:r>
          </w:p>
        </w:tc>
        <w:tc>
          <w:tcPr/>
          <w:p>
            <w:pPr>
              <w:pStyle w:val="Compact"/>
              <w:jc w:val="left"/>
            </w:pPr>
            <w:r>
              <w:t xml:space="preserve">Units</w:t>
            </w:r>
          </w:p>
        </w:tc>
        <w:tc>
          <w:tcPr/>
          <w:p>
            <w:pPr>
              <w:pStyle w:val="Compact"/>
              <w:jc w:val="left"/>
            </w:pPr>
            <w:r>
              <w:t xml:space="preserve">2,450.00</w:t>
            </w:r>
          </w:p>
        </w:tc>
        <w:tc>
          <w:tcPr/>
          <w:p>
            <w:pPr>
              <w:pStyle w:val="Compact"/>
              <w:jc w:val="left"/>
            </w:pPr>
            <w:r>
              <w:t xml:space="preserve">34,300.00</w:t>
            </w:r>
          </w:p>
        </w:tc>
      </w:tr>
      <w:tr>
        <w:tc>
          <w:tcPr/>
          <w:p>
            <w:pPr>
              <w:pStyle w:val="Compact"/>
              <w:jc w:val="left"/>
            </w:pPr>
            <w:r>
              <w:t xml:space="preserve">4</w:t>
            </w:r>
          </w:p>
        </w:tc>
        <w:tc>
          <w:tcPr/>
          <w:p>
            <w:pPr>
              <w:pStyle w:val="Compact"/>
              <w:jc w:val="left"/>
            </w:pPr>
            <w:r>
              <w:t xml:space="preserve">External timber decking (Australian Merbau, 140mm x 21mm) with integrated balustrade and stair assembly – 65 square metres – supply and installation by the Carpenter</w:t>
            </w:r>
          </w:p>
        </w:tc>
        <w:tc>
          <w:tcPr/>
          <w:p>
            <w:pPr>
              <w:pStyle w:val="Compact"/>
              <w:jc w:val="left"/>
            </w:pPr>
            <w:r>
              <w:t xml:space="preserve">65</w:t>
            </w:r>
          </w:p>
        </w:tc>
        <w:tc>
          <w:tcPr/>
          <w:p>
            <w:pPr>
              <w:pStyle w:val="Compact"/>
              <w:jc w:val="left"/>
            </w:pPr>
            <w:r>
              <w:t xml:space="preserve">m²</w:t>
            </w:r>
          </w:p>
        </w:tc>
        <w:tc>
          <w:tcPr/>
          <w:p>
            <w:pPr>
              <w:pStyle w:val="Compact"/>
              <w:jc w:val="left"/>
            </w:pPr>
            <w:r>
              <w:t xml:space="preserve">320.00</w:t>
            </w:r>
          </w:p>
        </w:tc>
        <w:tc>
          <w:tcPr/>
          <w:p>
            <w:pPr>
              <w:pStyle w:val="Compact"/>
              <w:jc w:val="left"/>
            </w:pPr>
            <w:r>
              <w:t xml:space="preserve">20,800.00</w:t>
            </w:r>
          </w:p>
        </w:tc>
      </w:tr>
      <w:tr>
        <w:tc>
          <w:tcPr/>
          <w:p>
            <w:pPr>
              <w:pStyle w:val="Compact"/>
              <w:jc w:val="left"/>
            </w:pPr>
            <w:r>
              <w:t xml:space="preserve">5</w:t>
            </w:r>
          </w:p>
        </w:tc>
        <w:tc>
          <w:tcPr/>
          <w:p>
            <w:pPr>
              <w:pStyle w:val="Compact"/>
              <w:jc w:val="left"/>
            </w:pPr>
            <w:r>
              <w:t xml:space="preserve">Interior trim, architraves, cornices, and skirting boards (MDF primed, paint-ready) for all internal rooms – supply and installation by the Carpenter</w:t>
            </w:r>
          </w:p>
        </w:tc>
        <w:tc>
          <w:tcPr/>
          <w:p>
            <w:pPr>
              <w:pStyle w:val="Compact"/>
              <w:jc w:val="left"/>
            </w:pPr>
            <w:r>
              <w:t xml:space="preserve">1</w:t>
            </w:r>
          </w:p>
        </w:tc>
        <w:tc>
          <w:tcPr/>
          <w:p>
            <w:pPr>
              <w:pStyle w:val="Compact"/>
              <w:jc w:val="left"/>
            </w:pPr>
            <w:r>
              <w:t xml:space="preserve">Lot</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6</w:t>
            </w:r>
          </w:p>
        </w:tc>
        <w:tc>
          <w:tcPr/>
          <w:p>
            <w:pPr>
              <w:pStyle w:val="Compact"/>
              <w:jc w:val="left"/>
            </w:pPr>
            <w:r>
              <w:t xml:space="preserve">Site supervision, daily progress reporting, and final handover documentation by the lead Carpenter and project foreman</w:t>
            </w:r>
          </w:p>
        </w:tc>
        <w:tc>
          <w:tcPr/>
          <w:p>
            <w:pPr>
              <w:pStyle w:val="Compact"/>
              <w:jc w:val="left"/>
            </w:pPr>
            <w:r>
              <w:t xml:space="preserve">45</w:t>
            </w:r>
          </w:p>
        </w:tc>
        <w:tc>
          <w:tcPr/>
          <w:p>
            <w:pPr>
              <w:pStyle w:val="Compact"/>
              <w:jc w:val="left"/>
            </w:pPr>
            <w:r>
              <w:t xml:space="preserve">Days</w:t>
            </w:r>
          </w:p>
        </w:tc>
        <w:tc>
          <w:tcPr/>
          <w:p>
            <w:pPr>
              <w:pStyle w:val="Compact"/>
              <w:jc w:val="left"/>
            </w:pPr>
            <w:r>
              <w:t xml:space="preserve">380.00</w:t>
            </w:r>
          </w:p>
        </w:tc>
        <w:tc>
          <w:tcPr/>
          <w:p>
            <w:pPr>
              <w:pStyle w:val="Compact"/>
              <w:jc w:val="left"/>
            </w:pPr>
            <w:r>
              <w:t xml:space="preserve">17,100.00</w:t>
            </w:r>
          </w:p>
        </w:tc>
      </w:tr>
    </w:tbl>
    <w:p>
      <w:pPr>
        <w:pStyle w:val="BodyText"/>
      </w:pPr>
      <w:r>
        <w:t xml:space="preserve">Subtotal:</w:t>
      </w:r>
      <w:r>
        <w:t xml:space="preserve"> </w:t>
      </w:r>
      <w:r>
        <w:rPr>
          <w:bCs/>
          <w:b/>
        </w:rPr>
        <w:t xml:space="preserve">$172,300.00 AUD</w:t>
      </w:r>
    </w:p>
    <w:p>
      <w:pPr>
        <w:pStyle w:val="BodyText"/>
      </w:pPr>
      <w:r>
        <w:t xml:space="preserve">GST (10%):</w:t>
      </w:r>
      <w:r>
        <w:t xml:space="preserve"> </w:t>
      </w:r>
      <w:r>
        <w:rPr>
          <w:bCs/>
          <w:b/>
        </w:rPr>
        <w:t xml:space="preserve">$17,230.00 AUD</w:t>
      </w:r>
    </w:p>
    <w:p>
      <w:pPr>
        <w:pStyle w:val="BodyText"/>
      </w:pPr>
      <w:r>
        <w:t xml:space="preserve">Total Purchase Order Value:</w:t>
      </w:r>
      <w:r>
        <w:t xml:space="preserve"> </w:t>
      </w:r>
      <w:r>
        <w:rPr>
          <w:bCs/>
          <w:b/>
        </w:rPr>
        <w:t xml:space="preserve">$189,530.00 AUD</w:t>
      </w:r>
    </w:p>
    <w:bookmarkEnd w:id="22"/>
    <w:bookmarkStart w:id="23" w:name="delivery-and-site-access"/>
    <w:p>
      <w:pPr>
        <w:pStyle w:val="Heading2"/>
      </w:pPr>
      <w:r>
        <w:t xml:space="preserve">3. Delivery and Site Access</w:t>
      </w:r>
    </w:p>
    <w:p>
      <w:pPr>
        <w:pStyle w:val="FirstParagraph"/>
      </w:pPr>
      <w:r>
        <w:t xml:space="preserve">All materials and the Carpenter's workforce shall be delivered to the project site at 78-82 Anzac Parade, Bondi Junction, Australia Sydney, between the hours of 07:00 and 17:00, Monday through Friday. The Carpenter shall coordinate with the Purchaser's site manager, Mr. James O'Connor, prior to each delivery to ensure adequate space and access. The Carpenter is responsible for all transport, loading, and unloading of materials to the site. Any materials delivered to the Australia Sydney site that do not conform to the specifications outlined in this Purchase Order shall be removed and replaced at the Carpenter's own cost within 48 hours of notification by the Purchaser.</w:t>
      </w:r>
    </w:p>
    <w:bookmarkEnd w:id="23"/>
    <w:bookmarkStart w:id="24" w:name="payment-terms"/>
    <w:p>
      <w:pPr>
        <w:pStyle w:val="Heading2"/>
      </w:pPr>
      <w:r>
        <w:t xml:space="preserve">4. Payment Terms</w:t>
      </w:r>
    </w:p>
    <w:p>
      <w:pPr>
        <w:pStyle w:val="FirstParagraph"/>
      </w:pPr>
      <w:r>
        <w:t xml:space="preserve">Payment against this Purchase Order shall be made in accordance with the following schedule, all amounts in Australian Dollars (AUD) and inclusive of GST where applicable:</w:t>
      </w:r>
    </w:p>
    <w:p>
      <w:pPr>
        <w:numPr>
          <w:ilvl w:val="0"/>
          <w:numId w:val="1001"/>
        </w:numPr>
        <w:pStyle w:val="Compact"/>
      </w:pPr>
      <w:r>
        <w:rPr>
          <w:bCs/>
          <w:b/>
        </w:rPr>
        <w:t xml:space="preserve">Progress Payment 1 (30%):</w:t>
      </w:r>
      <w:r>
        <w:t xml:space="preserve"> </w:t>
      </w:r>
      <w:r>
        <w:t xml:space="preserve">$56,859.00 – Due upon completion of structural framing (Item 1) and written acceptance by the Purchaser's site manager.</w:t>
      </w:r>
    </w:p>
    <w:p>
      <w:pPr>
        <w:numPr>
          <w:ilvl w:val="0"/>
          <w:numId w:val="1001"/>
        </w:numPr>
        <w:pStyle w:val="Compact"/>
      </w:pPr>
      <w:r>
        <w:rPr>
          <w:bCs/>
          <w:b/>
        </w:rPr>
        <w:t xml:space="preserve">Progress Payment 2 (30%):</w:t>
      </w:r>
      <w:r>
        <w:t xml:space="preserve"> </w:t>
      </w:r>
      <w:r>
        <w:t xml:space="preserve">$56,859.00 – Due upon completion of flooring, cabinetry, and decking works (Items 2, 3, and 4).</w:t>
      </w:r>
    </w:p>
    <w:p>
      <w:pPr>
        <w:numPr>
          <w:ilvl w:val="0"/>
          <w:numId w:val="1001"/>
        </w:numPr>
        <w:pStyle w:val="Compact"/>
      </w:pPr>
      <w:r>
        <w:rPr>
          <w:bCs/>
          <w:b/>
        </w:rPr>
        <w:t xml:space="preserve">Progress Payment 3 (30%):</w:t>
      </w:r>
      <w:r>
        <w:t xml:space="preserve"> </w:t>
      </w:r>
      <w:r>
        <w:t xml:space="preserve">$56,859.00 – Due upon completion of all interior trim works (Item 5) and site supervision (Item 6).</w:t>
      </w:r>
    </w:p>
    <w:p>
      <w:pPr>
        <w:numPr>
          <w:ilvl w:val="0"/>
          <w:numId w:val="1001"/>
        </w:numPr>
        <w:pStyle w:val="Compact"/>
      </w:pPr>
      <w:r>
        <w:rPr>
          <w:bCs/>
          <w:b/>
        </w:rPr>
        <w:t xml:space="preserve">Final Payment (10%):</w:t>
      </w:r>
      <w:r>
        <w:t xml:space="preserve"> </w:t>
      </w:r>
      <w:r>
        <w:t xml:space="preserve">$18,953.00 – Due upon final handover, rectification of any defects identified during the 14-day defect liability period, and issuance of the final completion certificate.</w:t>
      </w:r>
    </w:p>
    <w:p>
      <w:pPr>
        <w:pStyle w:val="FirstParagraph"/>
      </w:pPr>
      <w:r>
        <w:t xml:space="preserve">All payments shall be made by electronic funds transfer (EFT) to the bank account nominated by the Carpenter in writing. The Purchaser shall not be liable for any late payment interest unless the delay is attributable to the Purchaser's failure to issue a valid tax invoice. The Carpenter must provide a valid Australian tax invoice for each progress payment in accordance with the Australian Taxation Office (ATO) requirements.</w:t>
      </w:r>
    </w:p>
    <w:bookmarkEnd w:id="24"/>
    <w:bookmarkStart w:id="25" w:name="terms-and-conditions"/>
    <w:p>
      <w:pPr>
        <w:pStyle w:val="Heading2"/>
      </w:pPr>
      <w:r>
        <w:t xml:space="preserve">5.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State of New South Wales, Australia Sydney. Any disputes arising from this Purchase Order shall be subject to the exclusive jurisdiction of the courts of New South Wales.</w:t>
      </w:r>
    </w:p>
    <w:p>
      <w:pPr>
        <w:numPr>
          <w:ilvl w:val="0"/>
          <w:numId w:val="1002"/>
        </w:numPr>
        <w:pStyle w:val="Compact"/>
      </w:pPr>
      <w:r>
        <w:rPr>
          <w:bCs/>
          <w:b/>
        </w:rPr>
        <w:t xml:space="preserve">Quality of Work:</w:t>
      </w:r>
      <w:r>
        <w:t xml:space="preserve"> </w:t>
      </w:r>
      <w:r>
        <w:t xml:space="preserve">The Carpenter guarantees that all carpentry work shall be of a workmanlike standard, free from defects in materials and workmanship for a period of not less than two (2) years from the date of final completion. The Carpenter shall rectify any defects at no additional cost to the Purchaser.</w:t>
      </w:r>
    </w:p>
    <w:p>
      <w:pPr>
        <w:numPr>
          <w:ilvl w:val="0"/>
          <w:numId w:val="1002"/>
        </w:numPr>
        <w:pStyle w:val="Compact"/>
      </w:pPr>
      <w:r>
        <w:rPr>
          <w:bCs/>
          <w:b/>
        </w:rPr>
        <w:t xml:space="preserve">Insurance and Indemnity:</w:t>
      </w:r>
      <w:r>
        <w:t xml:space="preserve"> </w:t>
      </w:r>
      <w:r>
        <w:t xml:space="preserve">The Carpenter shall maintain, at their own cost, comprehensive public liability insurance of no less than $20,000,000 and workers' compensation insurance as required under the NSW Workers Compensation Act 1987. The Carpenter shall indemnify and hold harmless the Purchaser against all claims, losses, and damages arising from the Carpenter's negligence or breach of this Purchase Order.</w:t>
      </w:r>
    </w:p>
    <w:p>
      <w:pPr>
        <w:numPr>
          <w:ilvl w:val="0"/>
          <w:numId w:val="1002"/>
        </w:numPr>
        <w:pStyle w:val="Compact"/>
      </w:pPr>
      <w:r>
        <w:rPr>
          <w:bCs/>
          <w:b/>
        </w:rPr>
        <w:t xml:space="preserve">Subcontracting:</w:t>
      </w:r>
      <w:r>
        <w:t xml:space="preserve"> </w:t>
      </w:r>
      <w:r>
        <w:t xml:space="preserve">The Carpenter shall not subcontract any portion of the work described in this Purchase Order without the prior written consent of the Purchaser. Any approved subcontractor shall be bound by the same terms and conditions as the Carpenter.</w:t>
      </w:r>
    </w:p>
    <w:p>
      <w:pPr>
        <w:numPr>
          <w:ilvl w:val="0"/>
          <w:numId w:val="1002"/>
        </w:numPr>
        <w:pStyle w:val="Compact"/>
      </w:pPr>
      <w:r>
        <w:rPr>
          <w:bCs/>
          <w:b/>
        </w:rPr>
        <w:t xml:space="preserve">Health and Safety:</w:t>
      </w:r>
      <w:r>
        <w:t xml:space="preserve"> </w:t>
      </w:r>
      <w:r>
        <w:t xml:space="preserve">The Carpenter shall comply with all obligations under the Work Health and Safety Act 2011 (NSW) and the Work Health and Safety Regulation 2017 (NSW). The Carpenter shall ensure that all personnel working on the Australia Sydney site hold valid White Cards and appropriate trade qualifications.</w:t>
      </w:r>
    </w:p>
    <w:p>
      <w:pPr>
        <w:numPr>
          <w:ilvl w:val="0"/>
          <w:numId w:val="1002"/>
        </w:numPr>
        <w:pStyle w:val="Compact"/>
      </w:pPr>
      <w:r>
        <w:rPr>
          <w:bCs/>
          <w:b/>
        </w:rPr>
        <w:t xml:space="preserve">Termination:</w:t>
      </w:r>
      <w:r>
        <w:t xml:space="preserve"> </w:t>
      </w:r>
      <w:r>
        <w:t xml:space="preserve">Either party may terminate this Purchase Order by providing fourteen (14) days' written notice. In the event of termination by the Purchaser for cause (including but not limited to the Carpenter's failure to meet the required completion date or material breach of this Purchase Order), the Carpenter shall be entitled only to payment for work satisfactorily completed up to the date of termination.</w:t>
      </w:r>
    </w:p>
    <w:p>
      <w:pPr>
        <w:numPr>
          <w:ilvl w:val="0"/>
          <w:numId w:val="1002"/>
        </w:numPr>
        <w:pStyle w:val="Compact"/>
      </w:pPr>
      <w:r>
        <w:rPr>
          <w:bCs/>
          <w:b/>
        </w:rPr>
        <w:t xml:space="preserve">Confidentiality:</w:t>
      </w:r>
      <w:r>
        <w:t xml:space="preserve"> </w:t>
      </w:r>
      <w:r>
        <w:t xml:space="preserve">The Carpenter shall treat all project plans, specifications, and proprietary information provided by the Purchaser in connection with this Purchase Order as strictly confidential and shall not disclose such information to any third party without prior written consent.</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their reasonable control, including but not limited to natural disasters, government-imposed restrictions, or industrial action, provided that the affected party notifies the other party in writing within 48 hours of the event occurring.</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that they have read, understood, and agree to be bound by all terms and conditions set forth in this Purchase Order. This Purchase Order is valid for a period of thirty (30) days from the date of issue, after which it shall lapse unless renewed in writing by the Purchaser.</w:t>
      </w:r>
    </w:p>
    <w:p>
      <w:pPr>
        <w:pStyle w:val="BodyText"/>
      </w:pPr>
      <w:r>
        <w:rPr>
          <w:bCs/>
          <w:b/>
        </w:rPr>
        <w:t xml:space="preserve">For and on behalf of the Purchaser:</w:t>
      </w:r>
    </w:p>
    <w:p>
      <w:pPr>
        <w:pStyle w:val="BodyText"/>
      </w:pPr>
      <w:r>
        <w:t xml:space="preserve">Harbourview Construction &amp; Development Pty Ltd</w:t>
      </w:r>
    </w:p>
    <w:p>
      <w:pPr>
        <w:pStyle w:val="BodyText"/>
      </w:pPr>
      <w:r>
        <w:t xml:space="preserve">Name: Sarah Chen</w:t>
      </w:r>
    </w:p>
    <w:p>
      <w:pPr>
        <w:pStyle w:val="BodyText"/>
      </w:pPr>
      <w:r>
        <w:t xml:space="preserve">Title: Director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Carpenter / Supplier:</w:t>
      </w:r>
    </w:p>
    <w:p>
      <w:pPr>
        <w:pStyle w:val="BodyText"/>
      </w:pPr>
      <w:r>
        <w:t xml:space="preserve">Mitchell &amp; Sons Carpentry Services</w:t>
      </w:r>
    </w:p>
    <w:p>
      <w:pPr>
        <w:pStyle w:val="BodyText"/>
      </w:pPr>
      <w:r>
        <w:t xml:space="preserve">Name: David Mitchell</w:t>
      </w:r>
    </w:p>
    <w:p>
      <w:pPr>
        <w:pStyle w:val="BodyText"/>
      </w:pPr>
      <w:r>
        <w:t xml:space="preserve">Title: Master Carpenter /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(PO-2025-04782) is issued by Harbourview Construction &amp; Development Pty Ltd for Carpenter services in Australia Sydney. All amounts are in Australian Dollars (AUD). This document is the property of the Purchaser and shall be returned upon request. © 2025 Harbourview Construction &amp; Development Pty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Australia Sydney</dc:title>
  <dc:creator/>
  <dc:language>en</dc:language>
  <cp:keywords/>
  <dcterms:created xsi:type="dcterms:W3CDTF">2026-10-10T08:32:21Z</dcterms:created>
  <dcterms:modified xsi:type="dcterms:W3CDTF">2026-10-10T08:32:21Z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