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po-2025-04871"/>
    <w:p>
      <w:pPr>
        <w:pStyle w:val="Heading1"/>
      </w:pPr>
      <w:r>
        <w:t xml:space="preserve">PURCHASE ORDER</w:t>
      </w:r>
      <w:r>
        <w:t xml:space="preserve"> </w:t>
      </w:r>
      <w:r>
        <w:t xml:space="preserve">PO-2025-04871</w:t>
      </w:r>
    </w:p>
    <w:p>
      <w:pPr>
        <w:pStyle w:val="FirstParagraph"/>
      </w:pPr>
      <w:r>
        <w:rPr>
          <w:bCs/>
          <w:b/>
        </w:rPr>
        <w:t xml:space="preserve">Construtora Atlântica Ltda.</w:t>
      </w:r>
    </w:p>
    <w:p>
      <w:pPr>
        <w:pStyle w:val="BodyText"/>
      </w:pPr>
      <w:r>
        <w:t xml:space="preserve">Av. Atlântica, 1250 – Copacabana, Rio de Janeiro, RJ – CEP 22070-001 – Brazil</w:t>
      </w:r>
    </w:p>
    <w:p>
      <w:pPr>
        <w:pStyle w:val="BodyText"/>
      </w:pPr>
      <w:r>
        <w:t xml:space="preserve">CNPJ: 12.345.678/0001-90 | Phone: +55 (21) 3456-7890 | Email: procurement@construtoraatlantica.com.br</w:t>
      </w:r>
    </w:p>
    <w:bookmarkEnd w:id="20"/>
    <w:p>
      <w:pPr>
        <w:pStyle w:val="BodyText"/>
      </w:pPr>
      <w:r>
        <w:rPr>
          <w:bCs/>
          <w:b/>
        </w:rPr>
        <w:t xml:space="preserve">Purchase Order No.:</w:t>
      </w:r>
      <w:r>
        <w:t xml:space="preserve"> </w:t>
      </w:r>
      <w:r>
        <w:t xml:space="preserve">PO-2025-04871</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Project Reference:</w:t>
      </w:r>
      <w:r>
        <w:t xml:space="preserve"> </w:t>
      </w:r>
      <w:r>
        <w:t xml:space="preserve">RES-BOA-VISTA-2025</w:t>
      </w:r>
      <w:r>
        <w:br/>
      </w:r>
      <w:r>
        <w:rPr>
          <w:bCs/>
          <w:b/>
        </w:rPr>
        <w:t xml:space="preserve">Site Location:</w:t>
      </w:r>
      <w:r>
        <w:t xml:space="preserve"> </w:t>
      </w:r>
      <w:r>
        <w:t xml:space="preserve">Rua das Acácias, 45 – Boa Viagem, Rio de Janeiro, RJ – Brazil</w:t>
      </w:r>
      <w:r>
        <w:br/>
      </w:r>
      <w:r>
        <w:rPr>
          <w:bCs/>
          <w:b/>
        </w:rPr>
        <w:t xml:space="preserve">Priority:</w:t>
      </w:r>
      <w:r>
        <w:t xml:space="preserve"> </w:t>
      </w:r>
      <w:r>
        <w:t xml:space="preserve">High</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BRL (Brazilian Real)</w:t>
      </w:r>
      <w:r>
        <w:br/>
      </w:r>
      <w:r>
        <w:rPr>
          <w:bCs/>
          <w:b/>
        </w:rPr>
        <w:t xml:space="preserve">Incoterms:</w:t>
      </w:r>
      <w:r>
        <w:t xml:space="preserve"> </w:t>
      </w:r>
      <w:r>
        <w:t xml:space="preserve">DDP – Rio de Janeiro</w:t>
      </w:r>
    </w:p>
    <w:bookmarkStart w:id="21" w:name="vendor-supplier-information"/>
    <w:p>
      <w:pPr>
        <w:pStyle w:val="Heading2"/>
      </w:pPr>
      <w:r>
        <w:t xml:space="preserve">1. 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Marcenaria &amp; Carpintaria Silva &amp; Filhos ME</w:t>
            </w:r>
          </w:p>
        </w:tc>
      </w:tr>
      <w:tr>
        <w:tc>
          <w:tcPr/>
          <w:p>
            <w:pPr>
              <w:pStyle w:val="Compact"/>
              <w:jc w:val="left"/>
            </w:pPr>
            <w:r>
              <w:rPr>
                <w:bCs/>
                <w:b/>
              </w:rPr>
              <w:t xml:space="preserve">CNPJ:</w:t>
            </w:r>
          </w:p>
        </w:tc>
        <w:tc>
          <w:tcPr/>
          <w:p>
            <w:pPr>
              <w:pStyle w:val="Compact"/>
              <w:jc w:val="left"/>
            </w:pPr>
            <w:r>
              <w:t xml:space="preserve">98.765.432/0001-15</w:t>
            </w:r>
          </w:p>
        </w:tc>
      </w:tr>
      <w:tr>
        <w:tc>
          <w:tcPr/>
          <w:p>
            <w:pPr>
              <w:pStyle w:val="Compact"/>
              <w:jc w:val="left"/>
            </w:pPr>
            <w:r>
              <w:rPr>
                <w:bCs/>
                <w:b/>
              </w:rPr>
              <w:t xml:space="preserve">Address:</w:t>
            </w:r>
          </w:p>
        </w:tc>
        <w:tc>
          <w:tcPr/>
          <w:p>
            <w:pPr>
              <w:pStyle w:val="Compact"/>
              <w:jc w:val="left"/>
            </w:pPr>
            <w:r>
              <w:t xml:space="preserve">Rua do Carpinteiro, 88 – Vila Isabel, Rio de Janeiro, RJ – CEP 20551-030 – Brazil</w:t>
            </w:r>
          </w:p>
        </w:tc>
      </w:tr>
      <w:tr>
        <w:tc>
          <w:tcPr/>
          <w:p>
            <w:pPr>
              <w:pStyle w:val="Compact"/>
              <w:jc w:val="left"/>
            </w:pPr>
            <w:r>
              <w:rPr>
                <w:bCs/>
                <w:b/>
              </w:rPr>
              <w:t xml:space="preserve">Contact Person:</w:t>
            </w:r>
          </w:p>
        </w:tc>
        <w:tc>
          <w:tcPr/>
          <w:p>
            <w:pPr>
              <w:pStyle w:val="Compact"/>
              <w:jc w:val="left"/>
            </w:pPr>
            <w:r>
              <w:t xml:space="preserve">Carlos Eduardo Silva – Master Carpenter / Owner</w:t>
            </w:r>
          </w:p>
        </w:tc>
      </w:tr>
      <w:tr>
        <w:tc>
          <w:tcPr/>
          <w:p>
            <w:pPr>
              <w:pStyle w:val="Compact"/>
              <w:jc w:val="left"/>
            </w:pPr>
            <w:r>
              <w:rPr>
                <w:bCs/>
                <w:b/>
              </w:rPr>
              <w:t xml:space="preserve">Phone:</w:t>
            </w:r>
          </w:p>
        </w:tc>
        <w:tc>
          <w:tcPr/>
          <w:p>
            <w:pPr>
              <w:pStyle w:val="Compact"/>
              <w:jc w:val="left"/>
            </w:pPr>
            <w:r>
              <w:t xml:space="preserve">+55 (21) 99876-5432</w:t>
            </w:r>
          </w:p>
        </w:tc>
      </w:tr>
      <w:tr>
        <w:tc>
          <w:tcPr/>
          <w:p>
            <w:pPr>
              <w:pStyle w:val="Compact"/>
              <w:jc w:val="left"/>
            </w:pPr>
            <w:r>
              <w:rPr>
                <w:bCs/>
                <w:b/>
              </w:rPr>
              <w:t xml:space="preserve">Email:</w:t>
            </w:r>
          </w:p>
        </w:tc>
        <w:tc>
          <w:tcPr/>
          <w:p>
            <w:pPr>
              <w:pStyle w:val="Compact"/>
              <w:jc w:val="left"/>
            </w:pPr>
            <w:r>
              <w:t xml:space="preserve">contato@marceneriasilva.com.br</w:t>
            </w:r>
          </w:p>
        </w:tc>
      </w:tr>
      <w:tr>
        <w:tc>
          <w:tcPr/>
          <w:p>
            <w:pPr>
              <w:pStyle w:val="Compact"/>
              <w:jc w:val="left"/>
            </w:pPr>
            <w:r>
              <w:rPr>
                <w:bCs/>
                <w:b/>
              </w:rPr>
              <w:t xml:space="preserve">Specialization:</w:t>
            </w:r>
          </w:p>
        </w:tc>
        <w:tc>
          <w:tcPr/>
          <w:p>
            <w:pPr>
              <w:pStyle w:val="Compact"/>
              <w:jc w:val="left"/>
            </w:pPr>
            <w:r>
              <w:t xml:space="preserve">Residential and commercial Carpentry, custom woodwork, structural timber framing, and finishing carpentry services in Brazil Rio de Janeiro</w:t>
            </w:r>
          </w:p>
        </w:tc>
      </w:tr>
    </w:tbl>
    <w:bookmarkEnd w:id="21"/>
    <w:bookmarkStart w:id="22" w:name="scope-of-work-carpenter-services"/>
    <w:p>
      <w:pPr>
        <w:pStyle w:val="Heading2"/>
      </w:pPr>
      <w:r>
        <w:t xml:space="preserve">2. Scope of Work – Carpenter Services</w:t>
      </w:r>
    </w:p>
    <w:p>
      <w:pPr>
        <w:pStyle w:val="FirstParagraph"/>
      </w:pPr>
      <w:r>
        <w:t xml:space="preserve">This Purchase Order is issued by Construtora Atlântica Ltda. to formally engage the services of the above-named Carpenter firm for the execution of all carpentry and woodwork tasks associated with the Boa Vista Residential Complex project located in the Boa Viagem neighborhood of Rio de Janeiro, Brazil. The Carpenter shall be responsible for the complete fabrication, installation, and finishing of all wooden structural and decorative elements as specified in the architectural and engineering drawings approved by the project's technical team. The scope encompasses but is not limited to: structural timber framing for the second and third floors, custom-built kitchen cabinetry, interior door frames and panels, hardwood flooring installation, built-in wardrobes, staircase railings, and all associated finishing carpentry work. The Carpenter must comply with all applicable Brazilian building codes (NBR standards), municipal regulations of Rio de Janeiro, and the specific technical requirements outlined in the project documentation. All work must be performed in accordance with the highest standards of craftsmanship expected in the Brazil Rio de Janeiro construction market.</w:t>
      </w:r>
    </w:p>
    <w:bookmarkEnd w:id="22"/>
    <w:bookmarkStart w:id="23" w:name="line-items-services-and-materials"/>
    <w:p>
      <w:pPr>
        <w:pStyle w:val="Heading2"/>
      </w:pPr>
      <w:r>
        <w:t xml:space="preserve">3. Line Items –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Structural timber framing – second floor (Cedar, treated, 150x200mm beams and joists)</w:t>
            </w:r>
          </w:p>
        </w:tc>
        <w:tc>
          <w:tcPr/>
          <w:p>
            <w:pPr>
              <w:pStyle w:val="Compact"/>
              <w:jc w:val="left"/>
            </w:pPr>
            <w:r>
              <w:t xml:space="preserve">m²</w:t>
            </w:r>
          </w:p>
        </w:tc>
        <w:tc>
          <w:tcPr/>
          <w:p>
            <w:pPr>
              <w:pStyle w:val="Compact"/>
              <w:jc w:val="left"/>
            </w:pPr>
            <w:r>
              <w:t xml:space="preserve">320</w:t>
            </w:r>
          </w:p>
        </w:tc>
        <w:tc>
          <w:tcPr/>
          <w:p>
            <w:pPr>
              <w:pStyle w:val="Compact"/>
              <w:jc w:val="left"/>
            </w:pPr>
            <w:r>
              <w:t xml:space="preserve">485.00</w:t>
            </w:r>
          </w:p>
        </w:tc>
        <w:tc>
          <w:tcPr/>
          <w:p>
            <w:pPr>
              <w:pStyle w:val="Compact"/>
              <w:jc w:val="left"/>
            </w:pPr>
            <w:r>
              <w:t xml:space="preserve">155,200.00</w:t>
            </w:r>
          </w:p>
        </w:tc>
      </w:tr>
      <w:tr>
        <w:tc>
          <w:tcPr/>
          <w:p>
            <w:pPr>
              <w:pStyle w:val="Compact"/>
              <w:jc w:val="left"/>
            </w:pPr>
            <w:r>
              <w:t xml:space="preserve">02</w:t>
            </w:r>
          </w:p>
        </w:tc>
        <w:tc>
          <w:tcPr/>
          <w:p>
            <w:pPr>
              <w:pStyle w:val="Compact"/>
              <w:jc w:val="left"/>
            </w:pPr>
            <w:r>
              <w:t xml:space="preserve">Structural timber framing – third floor (Cedar, treated, 150x200mm beams and joists)</w:t>
            </w:r>
          </w:p>
        </w:tc>
        <w:tc>
          <w:tcPr/>
          <w:p>
            <w:pPr>
              <w:pStyle w:val="Compact"/>
              <w:jc w:val="left"/>
            </w:pPr>
            <w:r>
              <w:t xml:space="preserve">m²</w:t>
            </w:r>
          </w:p>
        </w:tc>
        <w:tc>
          <w:tcPr/>
          <w:p>
            <w:pPr>
              <w:pStyle w:val="Compact"/>
              <w:jc w:val="left"/>
            </w:pPr>
            <w:r>
              <w:t xml:space="preserve">285</w:t>
            </w:r>
          </w:p>
        </w:tc>
        <w:tc>
          <w:tcPr/>
          <w:p>
            <w:pPr>
              <w:pStyle w:val="Compact"/>
              <w:jc w:val="left"/>
            </w:pPr>
            <w:r>
              <w:t xml:space="preserve">485.00</w:t>
            </w:r>
          </w:p>
        </w:tc>
        <w:tc>
          <w:tcPr/>
          <w:p>
            <w:pPr>
              <w:pStyle w:val="Compact"/>
              <w:jc w:val="left"/>
            </w:pPr>
            <w:r>
              <w:t xml:space="preserve">138,225.00</w:t>
            </w:r>
          </w:p>
        </w:tc>
      </w:tr>
      <w:tr>
        <w:tc>
          <w:tcPr/>
          <w:p>
            <w:pPr>
              <w:pStyle w:val="Compact"/>
              <w:jc w:val="left"/>
            </w:pPr>
            <w:r>
              <w:t xml:space="preserve">03</w:t>
            </w:r>
          </w:p>
        </w:tc>
        <w:tc>
          <w:tcPr/>
          <w:p>
            <w:pPr>
              <w:pStyle w:val="Compact"/>
              <w:jc w:val="left"/>
            </w:pPr>
            <w:r>
              <w:t xml:space="preserve">Custom kitchen cabinetry – 12 units (Ipe hardwood, stainless steel hardware)</w:t>
            </w:r>
          </w:p>
        </w:tc>
        <w:tc>
          <w:tcPr/>
          <w:p>
            <w:pPr>
              <w:pStyle w:val="Compact"/>
              <w:jc w:val="left"/>
            </w:pPr>
            <w:r>
              <w:t xml:space="preserve">unit</w:t>
            </w:r>
          </w:p>
        </w:tc>
        <w:tc>
          <w:tcPr/>
          <w:p>
            <w:pPr>
              <w:pStyle w:val="Compact"/>
              <w:jc w:val="left"/>
            </w:pPr>
            <w:r>
              <w:t xml:space="preserve">12</w:t>
            </w:r>
          </w:p>
        </w:tc>
        <w:tc>
          <w:tcPr/>
          <w:p>
            <w:pPr>
              <w:pStyle w:val="Compact"/>
              <w:jc w:val="left"/>
            </w:pPr>
            <w:r>
              <w:t xml:space="preserve">8,750.00</w:t>
            </w:r>
          </w:p>
        </w:tc>
        <w:tc>
          <w:tcPr/>
          <w:p>
            <w:pPr>
              <w:pStyle w:val="Compact"/>
              <w:jc w:val="left"/>
            </w:pPr>
            <w:r>
              <w:t xml:space="preserve">105,000.00</w:t>
            </w:r>
          </w:p>
        </w:tc>
      </w:tr>
      <w:tr>
        <w:tc>
          <w:tcPr/>
          <w:p>
            <w:pPr>
              <w:pStyle w:val="Compact"/>
              <w:jc w:val="left"/>
            </w:pPr>
            <w:r>
              <w:t xml:space="preserve">04</w:t>
            </w:r>
          </w:p>
        </w:tc>
        <w:tc>
          <w:tcPr/>
          <w:p>
            <w:pPr>
              <w:pStyle w:val="Compact"/>
              <w:jc w:val="left"/>
            </w:pPr>
            <w:r>
              <w:t xml:space="preserve">Interior door frames and solid wood panels – 48 sets (Jacarandá, 90x210cm)</w:t>
            </w:r>
          </w:p>
        </w:tc>
        <w:tc>
          <w:tcPr/>
          <w:p>
            <w:pPr>
              <w:pStyle w:val="Compact"/>
              <w:jc w:val="left"/>
            </w:pPr>
            <w:r>
              <w:t xml:space="preserve">set</w:t>
            </w:r>
          </w:p>
        </w:tc>
        <w:tc>
          <w:tcPr/>
          <w:p>
            <w:pPr>
              <w:pStyle w:val="Compact"/>
              <w:jc w:val="left"/>
            </w:pPr>
            <w:r>
              <w:t xml:space="preserve">48</w:t>
            </w:r>
          </w:p>
        </w:tc>
        <w:tc>
          <w:tcPr/>
          <w:p>
            <w:pPr>
              <w:pStyle w:val="Compact"/>
              <w:jc w:val="left"/>
            </w:pPr>
            <w:r>
              <w:t xml:space="preserve">1,240.00</w:t>
            </w:r>
          </w:p>
        </w:tc>
        <w:tc>
          <w:tcPr/>
          <w:p>
            <w:pPr>
              <w:pStyle w:val="Compact"/>
              <w:jc w:val="left"/>
            </w:pPr>
            <w:r>
              <w:t xml:space="preserve">59,520.00</w:t>
            </w:r>
          </w:p>
        </w:tc>
      </w:tr>
      <w:tr>
        <w:tc>
          <w:tcPr/>
          <w:p>
            <w:pPr>
              <w:pStyle w:val="Compact"/>
              <w:jc w:val="left"/>
            </w:pPr>
            <w:r>
              <w:t xml:space="preserve">05</w:t>
            </w:r>
          </w:p>
        </w:tc>
        <w:tc>
          <w:tcPr/>
          <w:p>
            <w:pPr>
              <w:pStyle w:val="Compact"/>
              <w:jc w:val="left"/>
            </w:pPr>
            <w:r>
              <w:t xml:space="preserve">Hardwood flooring installation – Ipe, 18mm thick, oiled finish</w:t>
            </w:r>
          </w:p>
        </w:tc>
        <w:tc>
          <w:tcPr/>
          <w:p>
            <w:pPr>
              <w:pStyle w:val="Compact"/>
              <w:jc w:val="left"/>
            </w:pPr>
            <w:r>
              <w:t xml:space="preserve">m²</w:t>
            </w:r>
          </w:p>
        </w:tc>
        <w:tc>
          <w:tcPr/>
          <w:p>
            <w:pPr>
              <w:pStyle w:val="Compact"/>
              <w:jc w:val="left"/>
            </w:pPr>
            <w:r>
              <w:t xml:space="preserve">1,850</w:t>
            </w:r>
          </w:p>
        </w:tc>
        <w:tc>
          <w:tcPr/>
          <w:p>
            <w:pPr>
              <w:pStyle w:val="Compact"/>
              <w:jc w:val="left"/>
            </w:pPr>
            <w:r>
              <w:t xml:space="preserve">312.00</w:t>
            </w:r>
          </w:p>
        </w:tc>
        <w:tc>
          <w:tcPr/>
          <w:p>
            <w:pPr>
              <w:pStyle w:val="Compact"/>
              <w:jc w:val="left"/>
            </w:pPr>
            <w:r>
              <w:t xml:space="preserve">577,200.00</w:t>
            </w:r>
          </w:p>
        </w:tc>
      </w:tr>
      <w:tr>
        <w:tc>
          <w:tcPr/>
          <w:p>
            <w:pPr>
              <w:pStyle w:val="Compact"/>
              <w:jc w:val="left"/>
            </w:pPr>
            <w:r>
              <w:t xml:space="preserve">06</w:t>
            </w:r>
          </w:p>
        </w:tc>
        <w:tc>
          <w:tcPr/>
          <w:p>
            <w:pPr>
              <w:pStyle w:val="Compact"/>
              <w:jc w:val="left"/>
            </w:pPr>
            <w:r>
              <w:t xml:space="preserve">Built-in wardrobes – 24 units (Araucária, sliding doors, LED lighting)</w:t>
            </w:r>
          </w:p>
        </w:tc>
        <w:tc>
          <w:tcPr/>
          <w:p>
            <w:pPr>
              <w:pStyle w:val="Compact"/>
              <w:jc w:val="left"/>
            </w:pPr>
            <w:r>
              <w:t xml:space="preserve">unit</w:t>
            </w:r>
          </w:p>
        </w:tc>
        <w:tc>
          <w:tcPr/>
          <w:p>
            <w:pPr>
              <w:pStyle w:val="Compact"/>
              <w:jc w:val="left"/>
            </w:pPr>
            <w:r>
              <w:t xml:space="preserve">24</w:t>
            </w:r>
          </w:p>
        </w:tc>
        <w:tc>
          <w:tcPr/>
          <w:p>
            <w:pPr>
              <w:pStyle w:val="Compact"/>
              <w:jc w:val="left"/>
            </w:pPr>
            <w:r>
              <w:t xml:space="preserve">6,300.00</w:t>
            </w:r>
          </w:p>
        </w:tc>
        <w:tc>
          <w:tcPr/>
          <w:p>
            <w:pPr>
              <w:pStyle w:val="Compact"/>
              <w:jc w:val="left"/>
            </w:pPr>
            <w:r>
              <w:t xml:space="preserve">151,200.00</w:t>
            </w:r>
          </w:p>
        </w:tc>
      </w:tr>
      <w:tr>
        <w:tc>
          <w:tcPr/>
          <w:p>
            <w:pPr>
              <w:pStyle w:val="Compact"/>
              <w:jc w:val="left"/>
            </w:pPr>
            <w:r>
              <w:t xml:space="preserve">07</w:t>
            </w:r>
          </w:p>
        </w:tc>
        <w:tc>
          <w:tcPr/>
          <w:p>
            <w:pPr>
              <w:pStyle w:val="Compact"/>
              <w:jc w:val="left"/>
            </w:pPr>
            <w:r>
              <w:t xml:space="preserve">Staircase railings and balustrades – 3 flights (Ipe, wrought iron accents)</w:t>
            </w:r>
          </w:p>
        </w:tc>
        <w:tc>
          <w:tcPr/>
          <w:p>
            <w:pPr>
              <w:pStyle w:val="Compact"/>
              <w:jc w:val="left"/>
            </w:pPr>
            <w:r>
              <w:t xml:space="preserve">flight</w:t>
            </w:r>
          </w:p>
        </w:tc>
        <w:tc>
          <w:tcPr/>
          <w:p>
            <w:pPr>
              <w:pStyle w:val="Compact"/>
              <w:jc w:val="left"/>
            </w:pPr>
            <w:r>
              <w:t xml:space="preserve">3</w:t>
            </w:r>
          </w:p>
        </w:tc>
        <w:tc>
          <w:tcPr/>
          <w:p>
            <w:pPr>
              <w:pStyle w:val="Compact"/>
              <w:jc w:val="left"/>
            </w:pPr>
            <w:r>
              <w:t xml:space="preserve">22,400.00</w:t>
            </w:r>
          </w:p>
        </w:tc>
        <w:tc>
          <w:tcPr/>
          <w:p>
            <w:pPr>
              <w:pStyle w:val="Compact"/>
              <w:jc w:val="left"/>
            </w:pPr>
            <w:r>
              <w:t xml:space="preserve">67,200.00</w:t>
            </w:r>
          </w:p>
        </w:tc>
      </w:tr>
      <w:tr>
        <w:tc>
          <w:tcPr/>
          <w:p>
            <w:pPr>
              <w:pStyle w:val="Compact"/>
              <w:jc w:val="left"/>
            </w:pPr>
            <w:r>
              <w:t xml:space="preserve">08</w:t>
            </w:r>
          </w:p>
        </w:tc>
        <w:tc>
          <w:tcPr/>
          <w:p>
            <w:pPr>
              <w:pStyle w:val="Compact"/>
              <w:jc w:val="left"/>
            </w:pPr>
            <w:r>
              <w:t xml:space="preserve">Finishing carpentry – trim, moldings, window sills, baseboards (all units)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94,500.00</w:t>
            </w:r>
          </w:p>
        </w:tc>
        <w:tc>
          <w:tcPr/>
          <w:p>
            <w:pPr>
              <w:pStyle w:val="Compact"/>
              <w:jc w:val="left"/>
            </w:pPr>
            <w:r>
              <w:t xml:space="preserve">94,500.00</w:t>
            </w:r>
          </w:p>
        </w:tc>
      </w:tr>
      <w:tr>
        <w:tc>
          <w:tcPr/>
          <w:p>
            <w:pPr>
              <w:pStyle w:val="Compact"/>
              <w:jc w:val="left"/>
            </w:pPr>
            <w:r>
              <w:t xml:space="preserve">09</w:t>
            </w:r>
          </w:p>
        </w:tc>
        <w:tc>
          <w:tcPr/>
          <w:p>
            <w:pPr>
              <w:pStyle w:val="Compact"/>
              <w:jc w:val="left"/>
            </w:pPr>
            <w:r>
              <w:t xml:space="preserve">Project supervision, quality control, and site coordination by lead Carpenter</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18,000.00</w:t>
            </w:r>
          </w:p>
        </w:tc>
        <w:tc>
          <w:tcPr/>
          <w:p>
            <w:pPr>
              <w:pStyle w:val="Compact"/>
              <w:jc w:val="left"/>
            </w:pPr>
            <w:r>
              <w:t xml:space="preserve">108,000.00</w:t>
            </w:r>
          </w:p>
        </w:tc>
      </w:tr>
      <w:tr>
        <w:tc>
          <w:tcPr/>
          <w:p>
            <w:pPr>
              <w:pStyle w:val="Compact"/>
              <w:jc w:val="left"/>
            </w:pPr>
            <w:r>
              <w:t xml:space="preserve">10</w:t>
            </w:r>
          </w:p>
        </w:tc>
        <w:tc>
          <w:tcPr/>
          <w:p>
            <w:pPr>
              <w:pStyle w:val="Compact"/>
              <w:jc w:val="left"/>
            </w:pPr>
            <w:r>
              <w:t xml:space="preserve">Waste management, site cleanup, and compliance with Rio de Janeiro environmental regulations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gridSpan w:val="5"/>
          </w:tcPr>
          <w:p>
            <w:pPr>
              <w:pStyle w:val="Compact"/>
              <w:jc w:val="right"/>
            </w:pPr>
            <w:r>
              <w:t xml:space="preserve">TOTAL PURCHASE ORDER VALUE:</w:t>
            </w:r>
          </w:p>
        </w:tc>
        <w:tc>
          <w:tcPr/>
          <w:p>
            <w:pPr>
              <w:pStyle w:val="Compact"/>
              <w:jc w:val="left"/>
            </w:pPr>
            <w:r>
              <w:t xml:space="preserve">R$ 1,509,845.00</w:t>
            </w:r>
          </w:p>
        </w:tc>
      </w:tr>
    </w:tbl>
    <w:bookmarkEnd w:id="23"/>
    <w:bookmarkStart w:id="24" w:name="delivery-and-schedule"/>
    <w:p>
      <w:pPr>
        <w:pStyle w:val="Heading2"/>
      </w:pPr>
      <w:r>
        <w:t xml:space="preserve">4. Delivery and Schedule</w:t>
      </w:r>
    </w:p>
    <w:p>
      <w:pPr>
        <w:pStyle w:val="FirstParagraph"/>
      </w:pPr>
      <w:r>
        <w:t xml:space="preserve">The Carpenter shall mobilize to the project site in Boa Viagem, Rio de Janeiro, Brazil, no later than June 23, 2025. The total execution period for all carpentry and woodwork tasks under this Purchase Order shall not exceed six (6) calendar months from the mobilization date. The Carpenter is required to submit a detailed work schedule, including weekly progress reports, to the project manager at Construtora Atlântica Ltda. All materials must be sourced from certified suppliers within Brazil Rio de Janeiro or approved national distributors, and must be delivered to the site in a timely manner to avoid schedule delays. Any delay attributable to the Carpenter shall be subject to a penalty of 0.5% of the total Purchase Order value per calendar day of delay, up to a maximum of 10%.</w:t>
      </w:r>
    </w:p>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This Purchase Order constitutes a binding agreement between Construtora Atlântica Ltda. and Marcenaria &amp; Carpintaria Silva &amp; Filhos ME for the provision of Carpenter services and associated materials as described herein.</w:t>
      </w:r>
    </w:p>
    <w:p>
      <w:pPr>
        <w:numPr>
          <w:ilvl w:val="0"/>
          <w:numId w:val="1001"/>
        </w:numPr>
        <w:pStyle w:val="Compact"/>
      </w:pPr>
      <w:r>
        <w:rPr>
          <w:bCs/>
          <w:b/>
        </w:rPr>
        <w:t xml:space="preserve">5.2</w:t>
      </w:r>
      <w:r>
        <w:t xml:space="preserve"> </w:t>
      </w:r>
      <w:r>
        <w:t xml:space="preserve">The Carpenter warrants that all work shall be performed in a professional and workmanlike manner, using only materials of the quality and grade specified in this Purchase Order. All timber must be certified by the Brazilian Forest Service (IBAMA) with valid chain-of-custody documentation.</w:t>
      </w:r>
    </w:p>
    <w:p>
      <w:pPr>
        <w:numPr>
          <w:ilvl w:val="0"/>
          <w:numId w:val="1001"/>
        </w:numPr>
        <w:pStyle w:val="Compact"/>
      </w:pPr>
      <w:r>
        <w:rPr>
          <w:bCs/>
          <w:b/>
        </w:rPr>
        <w:t xml:space="preserve">5.3</w:t>
      </w:r>
      <w:r>
        <w:t xml:space="preserve"> </w:t>
      </w:r>
      <w:r>
        <w:t xml:space="preserve">Payment shall be made in three (3) installments: 30% upon mobilization and material delivery to site, 50% upon completion of structural framing and major installations, and 20% upon final inspection and sign-off by the project engineer. All payments shall be made via bank transfer (TED/PIX) to the account specified by the Carpenter.</w:t>
      </w:r>
    </w:p>
    <w:p>
      <w:pPr>
        <w:numPr>
          <w:ilvl w:val="0"/>
          <w:numId w:val="1001"/>
        </w:numPr>
        <w:pStyle w:val="Compact"/>
      </w:pPr>
      <w:r>
        <w:rPr>
          <w:bCs/>
          <w:b/>
        </w:rPr>
        <w:t xml:space="preserve">5.4</w:t>
      </w:r>
      <w:r>
        <w:t xml:space="preserve"> </w:t>
      </w:r>
      <w:r>
        <w:t xml:space="preserve">The Carpenter shall maintain full civil liability insurance and workers' compensation coverage (CIPA compliance) for all personnel working on the site in Rio de Janeiro, Brazil, for the duration of the contract.</w:t>
      </w:r>
    </w:p>
    <w:p>
      <w:pPr>
        <w:numPr>
          <w:ilvl w:val="0"/>
          <w:numId w:val="1001"/>
        </w:numPr>
        <w:pStyle w:val="Compact"/>
      </w:pPr>
      <w:r>
        <w:rPr>
          <w:bCs/>
          <w:b/>
        </w:rPr>
        <w:t xml:space="preserve">5.5</w:t>
      </w:r>
      <w:r>
        <w:t xml:space="preserve"> </w:t>
      </w:r>
      <w:r>
        <w:t xml:space="preserve">All work is subject to inspection and approval by the project's technical team. No phase shall be considered complete until written acceptance is issued by the project manager.</w:t>
      </w:r>
    </w:p>
    <w:p>
      <w:pPr>
        <w:numPr>
          <w:ilvl w:val="0"/>
          <w:numId w:val="1001"/>
        </w:numPr>
        <w:pStyle w:val="Compact"/>
      </w:pPr>
      <w:r>
        <w:rPr>
          <w:bCs/>
          <w:b/>
        </w:rPr>
        <w:t xml:space="preserve">5.6</w:t>
      </w:r>
      <w:r>
        <w:t xml:space="preserve"> </w:t>
      </w:r>
      <w:r>
        <w:t xml:space="preserve">The Carpenter shall comply with all labor laws of Brazil, including CLT regulations, and shall ensure that all workers on site are properly registered and paid in accordance with Brazilian labor legislation.</w:t>
      </w:r>
    </w:p>
    <w:p>
      <w:pPr>
        <w:numPr>
          <w:ilvl w:val="0"/>
          <w:numId w:val="1001"/>
        </w:numPr>
        <w:pStyle w:val="Compact"/>
      </w:pPr>
      <w:r>
        <w:rPr>
          <w:bCs/>
          <w:b/>
        </w:rPr>
        <w:t xml:space="preserve">5.7</w:t>
      </w:r>
      <w:r>
        <w:t xml:space="preserve"> </w:t>
      </w:r>
      <w:r>
        <w:t xml:space="preserve">Any changes to the scope of work must be documented in a formal Change Order signed by both parties before execution. No additional work shall be performed without prior written authorization under this Purchase Order.</w:t>
      </w:r>
    </w:p>
    <w:p>
      <w:pPr>
        <w:numPr>
          <w:ilvl w:val="0"/>
          <w:numId w:val="1001"/>
        </w:numPr>
        <w:pStyle w:val="Compact"/>
      </w:pPr>
      <w:r>
        <w:rPr>
          <w:bCs/>
          <w:b/>
        </w:rPr>
        <w:t xml:space="preserve">5.8</w:t>
      </w:r>
      <w:r>
        <w:t xml:space="preserve"> </w:t>
      </w:r>
      <w:r>
        <w:t xml:space="preserve">Disputes arising from this Purchase Order shall be resolved through arbitration in the city of Rio de Janeiro, Brazil, in accordance with the rules of the CAM-CCBC (Câmara de Arbitragem do Centro de Conciliação e Arbitragem da Barra da Tijuca).</w:t>
      </w:r>
    </w:p>
    <w:p>
      <w:pPr>
        <w:numPr>
          <w:ilvl w:val="0"/>
          <w:numId w:val="1001"/>
        </w:numPr>
        <w:pStyle w:val="Compact"/>
      </w:pPr>
      <w:r>
        <w:rPr>
          <w:bCs/>
          <w:b/>
        </w:rPr>
        <w:t xml:space="preserve">5.9</w:t>
      </w:r>
      <w:r>
        <w:t xml:space="preserve"> </w:t>
      </w:r>
      <w:r>
        <w:t xml:space="preserve">The Carpenter shall provide a warranty of twenty-four (24) months on all workmanship and materials, commencing from the date of final acceptance.</w:t>
      </w:r>
    </w:p>
    <w:p>
      <w:pPr>
        <w:numPr>
          <w:ilvl w:val="0"/>
          <w:numId w:val="1001"/>
        </w:numPr>
        <w:pStyle w:val="Compact"/>
      </w:pPr>
      <w:r>
        <w:rPr>
          <w:bCs/>
          <w:b/>
        </w:rPr>
        <w:t xml:space="preserve">5.10</w:t>
      </w:r>
      <w:r>
        <w:t xml:space="preserve"> </w:t>
      </w:r>
      <w:r>
        <w:t xml:space="preserve">This Purchase Order is governed by the laws of the Federative Republic of Brazil, with specific reference to the Brazilian Civil Code (Código Civil) and applicable municipal regulations of Rio de Janeiro.</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set forth in this Purchase Order for the Carpenter services to be executed in Brazil Rio de Janeiro. This document, together with the attached technical drawings and material specifications, forms the complete and exclusive agreement between the parties for the scope of work described herein.</w:t>
      </w:r>
    </w:p>
    <w:bookmarkEnd w:id="26"/>
    <w:p>
      <w:pPr>
        <w:pStyle w:val="BodyText"/>
      </w:pPr>
      <w:r>
        <w:rPr>
          <w:bCs/>
          <w:b/>
        </w:rPr>
        <w:t xml:space="preserve">For Construtora Atlântica Ltda. (Buyer)</w:t>
      </w:r>
      <w:r>
        <w:br/>
      </w:r>
      <w:r>
        <w:br/>
      </w:r>
      <w:r>
        <w:t xml:space="preserve">_________________________________</w:t>
      </w:r>
      <w:r>
        <w:br/>
      </w:r>
      <w:r>
        <w:t xml:space="preserve">Ricardo Almeida Santos</w:t>
      </w:r>
      <w:r>
        <w:br/>
      </w:r>
      <w:r>
        <w:t xml:space="preserve">Procurement Director</w:t>
      </w:r>
      <w:r>
        <w:br/>
      </w:r>
      <w:r>
        <w:t xml:space="preserve">Date: _______________</w:t>
      </w:r>
    </w:p>
    <w:p>
      <w:pPr>
        <w:pStyle w:val="BodyText"/>
      </w:pPr>
      <w:r>
        <w:rPr>
          <w:bCs/>
          <w:b/>
        </w:rPr>
        <w:t xml:space="preserve">For Marcenaria &amp; Carpintaria Silva &amp; Filhos ME (Carpenter / Vendor)</w:t>
      </w:r>
      <w:r>
        <w:br/>
      </w:r>
      <w:r>
        <w:br/>
      </w:r>
      <w:r>
        <w:t xml:space="preserve">_________________________________</w:t>
      </w:r>
      <w:r>
        <w:br/>
      </w:r>
      <w:r>
        <w:t xml:space="preserve">Carlos Eduardo Silva</w:t>
      </w:r>
      <w:r>
        <w:br/>
      </w:r>
      <w:r>
        <w:t xml:space="preserve">Master Carpenter / Owner</w:t>
      </w:r>
      <w:r>
        <w:br/>
      </w:r>
      <w:r>
        <w:t xml:space="preserve">Date: _______________</w:t>
      </w:r>
    </w:p>
    <w:p>
      <w:pPr>
        <w:pStyle w:val="BodyText"/>
      </w:pPr>
      <w:r>
        <w:t xml:space="preserve">Purchase Order PO-2025-04871 | Construtora Atlântica Ltda. | Rio de Janeiro, RJ – Brazil</w:t>
      </w:r>
    </w:p>
    <w:p>
      <w:pPr>
        <w:pStyle w:val="BodyText"/>
      </w:pPr>
      <w:r>
        <w:t xml:space="preserve">This document is valid only when signed and stamped by both parties. Unauthorized reproduction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Brazil Rio de Janeiro</dc:title>
  <dc:creator/>
  <dc:language>en</dc:language>
  <cp:keywords/>
  <dcterms:created xsi:type="dcterms:W3CDTF">2026-10-10T01:56:09Z</dcterms:created>
  <dcterms:modified xsi:type="dcterms:W3CDTF">2026-10-10T01:56:09Z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