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Formal Procurement Document for Carpenter Services</w:t>
      </w:r>
    </w:p>
    <w:p>
      <w:pPr>
        <w:pStyle w:val="BodyText"/>
      </w:pPr>
      <w:r>
        <w:t xml:space="preserve">Jurisdiction: Province of Quebec, Canada — City of Montreal</w:t>
      </w:r>
    </w:p>
    <w:bookmarkEnd w:id="20"/>
    <w:p>
      <w:pPr>
        <w:pStyle w:val="BodyText"/>
      </w:pPr>
      <w:r>
        <w:rPr>
          <w:bCs/>
          <w:b/>
        </w:rPr>
        <w:t xml:space="preserve">Purchase Order No.:</w:t>
      </w:r>
      <w:r>
        <w:t xml:space="preserve"> </w:t>
      </w:r>
      <w:r>
        <w:t xml:space="preserve">PO-MTL-2025-04872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Canadian Dollars (CAD)</w:t>
      </w:r>
      <w:r>
        <w:br/>
      </w:r>
      <w:r>
        <w:rPr>
          <w:bCs/>
          <w:b/>
        </w:rPr>
        <w:t xml:space="preserve">Language of Record:</w:t>
      </w:r>
      <w:r>
        <w:t xml:space="preserve"> </w:t>
      </w:r>
      <w:r>
        <w:t xml:space="preserve">English / French</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Montreal Heritage Restoration Inc.</w:t>
            </w:r>
          </w:p>
        </w:tc>
      </w:tr>
      <w:tr>
        <w:tc>
          <w:tcPr/>
          <w:p>
            <w:pPr>
              <w:pStyle w:val="Compact"/>
              <w:jc w:val="left"/>
            </w:pPr>
            <w:r>
              <w:rPr>
                <w:bCs/>
                <w:b/>
              </w:rPr>
              <w:t xml:space="preserve">Address:</w:t>
            </w:r>
          </w:p>
        </w:tc>
        <w:tc>
          <w:tcPr/>
          <w:p>
            <w:pPr>
              <w:pStyle w:val="Compact"/>
              <w:jc w:val="left"/>
            </w:pPr>
            <w:r>
              <w:t xml:space="preserve">1450 Rue Sainte-Catherine Ouest, Suite 3200, Montreal, Quebec, Canada H3G 1Z4</w:t>
            </w:r>
          </w:p>
        </w:tc>
      </w:tr>
      <w:tr>
        <w:tc>
          <w:tcPr/>
          <w:p>
            <w:pPr>
              <w:pStyle w:val="Compact"/>
              <w:jc w:val="left"/>
            </w:pPr>
            <w:r>
              <w:rPr>
                <w:bCs/>
                <w:b/>
              </w:rPr>
              <w:t xml:space="preserve">Business Number (BN):</w:t>
            </w:r>
          </w:p>
        </w:tc>
        <w:tc>
          <w:tcPr/>
          <w:p>
            <w:pPr>
              <w:pStyle w:val="Compact"/>
              <w:jc w:val="left"/>
            </w:pPr>
            <w:r>
              <w:t xml:space="preserve">123456789 RT0001</w:t>
            </w:r>
          </w:p>
        </w:tc>
      </w:tr>
      <w:tr>
        <w:tc>
          <w:tcPr/>
          <w:p>
            <w:pPr>
              <w:pStyle w:val="Compact"/>
              <w:jc w:val="left"/>
            </w:pPr>
            <w:r>
              <w:rPr>
                <w:bCs/>
                <w:b/>
              </w:rPr>
              <w:t xml:space="preserve">QST Number:</w:t>
            </w:r>
          </w:p>
        </w:tc>
        <w:tc>
          <w:tcPr/>
          <w:p>
            <w:pPr>
              <w:pStyle w:val="Compact"/>
              <w:jc w:val="left"/>
            </w:pPr>
            <w:r>
              <w:t xml:space="preserve">1234567890001</w:t>
            </w:r>
          </w:p>
        </w:tc>
      </w:tr>
      <w:tr>
        <w:tc>
          <w:tcPr/>
          <w:p>
            <w:pPr>
              <w:pStyle w:val="Compact"/>
              <w:jc w:val="left"/>
            </w:pPr>
            <w:r>
              <w:rPr>
                <w:bCs/>
                <w:b/>
              </w:rPr>
              <w:t xml:space="preserve">Contact Person:</w:t>
            </w:r>
          </w:p>
        </w:tc>
        <w:tc>
          <w:tcPr/>
          <w:p>
            <w:pPr>
              <w:pStyle w:val="Compact"/>
              <w:jc w:val="left"/>
            </w:pPr>
            <w:r>
              <w:t xml:space="preserve">Marc-André Tremblay, Project Director</w:t>
            </w:r>
          </w:p>
        </w:tc>
      </w:tr>
      <w:tr>
        <w:tc>
          <w:tcPr/>
          <w:p>
            <w:pPr>
              <w:pStyle w:val="Compact"/>
              <w:jc w:val="left"/>
            </w:pPr>
            <w:r>
              <w:rPr>
                <w:bCs/>
                <w:b/>
              </w:rPr>
              <w:t xml:space="preserve">Email:</w:t>
            </w:r>
          </w:p>
        </w:tc>
        <w:tc>
          <w:tcPr/>
          <w:p>
            <w:pPr>
              <w:pStyle w:val="Compact"/>
              <w:jc w:val="left"/>
            </w:pPr>
            <w:r>
              <w:t xml:space="preserve">m.tremblay@montrealheritage.ca</w:t>
            </w:r>
          </w:p>
        </w:tc>
      </w:tr>
      <w:tr>
        <w:tc>
          <w:tcPr/>
          <w:p>
            <w:pPr>
              <w:pStyle w:val="Compact"/>
              <w:jc w:val="left"/>
            </w:pPr>
            <w:r>
              <w:rPr>
                <w:bCs/>
                <w:b/>
              </w:rPr>
              <w:t xml:space="preserve">Telephone:</w:t>
            </w:r>
          </w:p>
        </w:tc>
        <w:tc>
          <w:tcPr/>
          <w:p>
            <w:pPr>
              <w:pStyle w:val="Compact"/>
              <w:jc w:val="left"/>
            </w:pPr>
            <w:r>
              <w:t xml:space="preserve">(514) 555-0198</w:t>
            </w:r>
          </w:p>
        </w:tc>
      </w:tr>
    </w:tbl>
    <w:bookmarkEnd w:id="21"/>
    <w:bookmarkStart w:id="22" w:name="vendor-service-provider-carpenter"/>
    <w:p>
      <w:pPr>
        <w:pStyle w:val="Heading2"/>
      </w:pPr>
      <w:r>
        <w:t xml:space="preserve">2. Vendor / Service Provider (Carpenter)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Carpenter / Contractor Name:</w:t>
            </w:r>
          </w:p>
        </w:tc>
        <w:tc>
          <w:tcPr/>
          <w:p>
            <w:pPr>
              <w:pStyle w:val="Compact"/>
              <w:jc w:val="left"/>
            </w:pPr>
            <w:r>
              <w:t xml:space="preserve">Lucien Fortin, Master Carpenter &amp; Licensed Contractor</w:t>
            </w:r>
          </w:p>
        </w:tc>
      </w:tr>
      <w:tr>
        <w:tc>
          <w:tcPr/>
          <w:p>
            <w:pPr>
              <w:pStyle w:val="Compact"/>
              <w:jc w:val="left"/>
            </w:pPr>
            <w:r>
              <w:rPr>
                <w:bCs/>
                <w:b/>
              </w:rPr>
              <w:t xml:space="preserve">Business Name:</w:t>
            </w:r>
          </w:p>
        </w:tc>
        <w:tc>
          <w:tcPr/>
          <w:p>
            <w:pPr>
              <w:pStyle w:val="Compact"/>
              <w:jc w:val="left"/>
            </w:pPr>
            <w:r>
              <w:t xml:space="preserve">Fortin &amp; Fils Charpenterie Inc.</w:t>
            </w:r>
          </w:p>
        </w:tc>
      </w:tr>
      <w:tr>
        <w:tc>
          <w:tcPr/>
          <w:p>
            <w:pPr>
              <w:pStyle w:val="Compact"/>
              <w:jc w:val="left"/>
            </w:pPr>
            <w:r>
              <w:rPr>
                <w:bCs/>
                <w:b/>
              </w:rPr>
              <w:t xml:space="preserve">Address:</w:t>
            </w:r>
          </w:p>
        </w:tc>
        <w:tc>
          <w:tcPr/>
          <w:p>
            <w:pPr>
              <w:pStyle w:val="Compact"/>
              <w:jc w:val="left"/>
            </w:pPr>
            <w:r>
              <w:t xml:space="preserve">87 Rue de la Commune Est, Montreal, Quebec, Canada H2Y 1B6</w:t>
            </w:r>
          </w:p>
        </w:tc>
      </w:tr>
      <w:tr>
        <w:tc>
          <w:tcPr/>
          <w:p>
            <w:pPr>
              <w:pStyle w:val="Compact"/>
              <w:jc w:val="left"/>
            </w:pPr>
            <w:r>
              <w:rPr>
                <w:bCs/>
                <w:b/>
              </w:rPr>
              <w:t xml:space="preserve">Business Number (BN):</w:t>
            </w:r>
          </w:p>
        </w:tc>
        <w:tc>
          <w:tcPr/>
          <w:p>
            <w:pPr>
              <w:pStyle w:val="Compact"/>
              <w:jc w:val="left"/>
            </w:pPr>
            <w:r>
              <w:t xml:space="preserve">987654321 RT0001</w:t>
            </w:r>
          </w:p>
        </w:tc>
      </w:tr>
      <w:tr>
        <w:tc>
          <w:tcPr/>
          <w:p>
            <w:pPr>
              <w:pStyle w:val="Compact"/>
              <w:jc w:val="left"/>
            </w:pPr>
            <w:r>
              <w:rPr>
                <w:bCs/>
                <w:b/>
              </w:rPr>
              <w:t xml:space="preserve">QST Number:</w:t>
            </w:r>
          </w:p>
        </w:tc>
        <w:tc>
          <w:tcPr/>
          <w:p>
            <w:pPr>
              <w:pStyle w:val="Compact"/>
              <w:jc w:val="left"/>
            </w:pPr>
            <w:r>
              <w:t xml:space="preserve">9876543210001</w:t>
            </w:r>
          </w:p>
        </w:tc>
      </w:tr>
      <w:tr>
        <w:tc>
          <w:tcPr/>
          <w:p>
            <w:pPr>
              <w:pStyle w:val="Compact"/>
              <w:jc w:val="left"/>
            </w:pPr>
            <w:r>
              <w:rPr>
                <w:bCs/>
                <w:b/>
              </w:rPr>
              <w:t xml:space="preserve">RBQ License No.:</w:t>
            </w:r>
          </w:p>
        </w:tc>
        <w:tc>
          <w:tcPr/>
          <w:p>
            <w:pPr>
              <w:pStyle w:val="Compact"/>
              <w:jc w:val="left"/>
            </w:pPr>
            <w:r>
              <w:t xml:space="preserve">70 5432 10 (Régie du bâtiment du Québec)</w:t>
            </w:r>
          </w:p>
        </w:tc>
      </w:tr>
      <w:tr>
        <w:tc>
          <w:tcPr/>
          <w:p>
            <w:pPr>
              <w:pStyle w:val="Compact"/>
              <w:jc w:val="left"/>
            </w:pPr>
            <w:r>
              <w:rPr>
                <w:bCs/>
                <w:b/>
              </w:rPr>
              <w:t xml:space="preserve">Insurance:</w:t>
            </w:r>
          </w:p>
        </w:tc>
        <w:tc>
          <w:tcPr/>
          <w:p>
            <w:pPr>
              <w:pStyle w:val="Compact"/>
              <w:jc w:val="left"/>
            </w:pPr>
            <w:r>
              <w:t xml:space="preserve">Liability — $2,000,000 CAD; Workers’ Compensation — CNESST</w:t>
            </w:r>
          </w:p>
        </w:tc>
      </w:tr>
      <w:tr>
        <w:tc>
          <w:tcPr/>
          <w:p>
            <w:pPr>
              <w:pStyle w:val="Compact"/>
              <w:jc w:val="left"/>
            </w:pPr>
            <w:r>
              <w:rPr>
                <w:bCs/>
                <w:b/>
              </w:rPr>
              <w:t xml:space="preserve">Contact Person:</w:t>
            </w:r>
          </w:p>
        </w:tc>
        <w:tc>
          <w:tcPr/>
          <w:p>
            <w:pPr>
              <w:pStyle w:val="Compact"/>
              <w:jc w:val="left"/>
            </w:pPr>
            <w:r>
              <w:t xml:space="preserve">Lucien Fortin, Owner / Lead Carpenter</w:t>
            </w:r>
          </w:p>
        </w:tc>
      </w:tr>
      <w:tr>
        <w:tc>
          <w:tcPr/>
          <w:p>
            <w:pPr>
              <w:pStyle w:val="Compact"/>
              <w:jc w:val="left"/>
            </w:pPr>
            <w:r>
              <w:rPr>
                <w:bCs/>
                <w:b/>
              </w:rPr>
              <w:t xml:space="preserve">Email:</w:t>
            </w:r>
          </w:p>
        </w:tc>
        <w:tc>
          <w:tcPr/>
          <w:p>
            <w:pPr>
              <w:pStyle w:val="Compact"/>
              <w:jc w:val="left"/>
            </w:pPr>
            <w:r>
              <w:t xml:space="preserve">lucien@fortincharpenterie.ca</w:t>
            </w:r>
          </w:p>
        </w:tc>
      </w:tr>
      <w:tr>
        <w:tc>
          <w:tcPr/>
          <w:p>
            <w:pPr>
              <w:pStyle w:val="Compact"/>
              <w:jc w:val="left"/>
            </w:pPr>
            <w:r>
              <w:rPr>
                <w:bCs/>
                <w:b/>
              </w:rPr>
              <w:t xml:space="preserve">Telephone:</w:t>
            </w:r>
          </w:p>
        </w:tc>
        <w:tc>
          <w:tcPr/>
          <w:p>
            <w:pPr>
              <w:pStyle w:val="Compact"/>
              <w:jc w:val="left"/>
            </w:pPr>
            <w:r>
              <w:t xml:space="preserve">(514) 555-0342</w:t>
            </w:r>
          </w:p>
        </w:tc>
      </w:tr>
    </w:tbl>
    <w:bookmarkEnd w:id="22"/>
    <w:bookmarkStart w:id="23" w:name="scope-of-carpenter-services-line-items"/>
    <w:p>
      <w:pPr>
        <w:pStyle w:val="Heading2"/>
      </w:pPr>
      <w:r>
        <w:t xml:space="preserve">3. Scope of Carpenter Services — Line Items</w:t>
      </w:r>
    </w:p>
    <w:p>
      <w:pPr>
        <w:pStyle w:val="FirstParagraph"/>
      </w:pPr>
      <w:r>
        <w:t xml:space="preserve">This Purchase Order authorizes the Carpenter, Fortin &amp; Fils Charpenterie Inc., to perform the following carpentry and woodworking services at the project site located at 2200 Avenue du Mont-Royal, Montreal, Quebec, Canada. All work shall comply with the National Building Code of Canada, the Quebec Building Code (Réglement sur le code du bâtiment), and all applicable municipal by-laws of the City of Montreal.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Custom hardwood staircase construction (oak, 14 risers, 12 treads) including newel posts, balusters, and handrail fabrication and installation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of 24 custom-built interior doors (solid cherry wood, 36″ × 80″) with matching trim, casings, and hardware mounting</w:t>
            </w:r>
          </w:p>
        </w:tc>
        <w:tc>
          <w:tcPr/>
          <w:p>
            <w:pPr>
              <w:pStyle w:val="Compact"/>
              <w:jc w:val="left"/>
            </w:pPr>
            <w:r>
              <w:t xml:space="preserve">24</w:t>
            </w:r>
          </w:p>
        </w:tc>
        <w:tc>
          <w:tcPr/>
          <w:p>
            <w:pPr>
              <w:pStyle w:val="Compact"/>
              <w:jc w:val="left"/>
            </w:pPr>
            <w:r>
              <w:t xml:space="preserve">Doors</w:t>
            </w:r>
          </w:p>
        </w:tc>
        <w:tc>
          <w:tcPr/>
          <w:p>
            <w:pPr>
              <w:pStyle w:val="Compact"/>
              <w:jc w:val="left"/>
            </w:pPr>
            <w:r>
              <w:t xml:space="preserve">$1,250.00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Construction and installation of built-in cabinetry (kitchen and two bathrooms), including countertops, drawers, and soft-close hardware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4</w:t>
            </w:r>
          </w:p>
        </w:tc>
        <w:tc>
          <w:tcPr/>
          <w:p>
            <w:pPr>
              <w:pStyle w:val="Compact"/>
              <w:jc w:val="left"/>
            </w:pPr>
            <w:r>
              <w:t xml:space="preserve">Structural carpentry: removal and replacement of 3 load-bearing wall sections with engineered LVL beams, including temporary shoring</w:t>
            </w:r>
          </w:p>
        </w:tc>
        <w:tc>
          <w:tcPr/>
          <w:p>
            <w:pPr>
              <w:pStyle w:val="Compact"/>
              <w:jc w:val="left"/>
            </w:pPr>
            <w:r>
              <w:t xml:space="preserve">3</w:t>
            </w:r>
          </w:p>
        </w:tc>
        <w:tc>
          <w:tcPr/>
          <w:p>
            <w:pPr>
              <w:pStyle w:val="Compact"/>
              <w:jc w:val="left"/>
            </w:pPr>
            <w:r>
              <w:t xml:space="preserve">Sections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Installation of hardwood flooring (white oak, 3/4″ solid, wire-brushed finish) in living areas, approximately 1,200 sq ft, including underlayment and baseboards</w:t>
            </w:r>
          </w:p>
        </w:tc>
        <w:tc>
          <w:tcPr/>
          <w:p>
            <w:pPr>
              <w:pStyle w:val="Compact"/>
              <w:jc w:val="left"/>
            </w:pPr>
            <w:r>
              <w:t xml:space="preserve">1,200</w:t>
            </w:r>
          </w:p>
        </w:tc>
        <w:tc>
          <w:tcPr/>
          <w:p>
            <w:pPr>
              <w:pStyle w:val="Compact"/>
              <w:jc w:val="left"/>
            </w:pPr>
            <w:r>
              <w:t xml:space="preserve">Sq Ft</w:t>
            </w:r>
          </w:p>
        </w:tc>
        <w:tc>
          <w:tcPr/>
          <w:p>
            <w:pPr>
              <w:pStyle w:val="Compact"/>
              <w:jc w:val="left"/>
            </w:pPr>
            <w:r>
              <w:t xml:space="preserve">$14.50</w:t>
            </w:r>
          </w:p>
        </w:tc>
        <w:tc>
          <w:tcPr/>
          <w:p>
            <w:pPr>
              <w:pStyle w:val="Compact"/>
              <w:jc w:val="left"/>
            </w:pPr>
            <w:r>
              <w:t xml:space="preserve">$17,400.00</w:t>
            </w:r>
          </w:p>
        </w:tc>
      </w:tr>
      <w:tr>
        <w:tc>
          <w:tcPr/>
          <w:p>
            <w:pPr>
              <w:pStyle w:val="Compact"/>
              <w:jc w:val="left"/>
            </w:pPr>
            <w:r>
              <w:t xml:space="preserve">6</w:t>
            </w:r>
          </w:p>
        </w:tc>
        <w:tc>
          <w:tcPr/>
          <w:p>
            <w:pPr>
              <w:pStyle w:val="Compact"/>
              <w:jc w:val="left"/>
            </w:pPr>
            <w:r>
              <w:t xml:space="preserve">Custom window sills, lintels, and exterior trim repair (cedar) for heritage facade preservation, approximately 180 linear feet</w:t>
            </w:r>
          </w:p>
        </w:tc>
        <w:tc>
          <w:tcPr/>
          <w:p>
            <w:pPr>
              <w:pStyle w:val="Compact"/>
              <w:jc w:val="left"/>
            </w:pPr>
            <w:r>
              <w:t xml:space="preserve">180</w:t>
            </w:r>
          </w:p>
        </w:tc>
        <w:tc>
          <w:tcPr/>
          <w:p>
            <w:pPr>
              <w:pStyle w:val="Compact"/>
              <w:jc w:val="left"/>
            </w:pPr>
            <w:r>
              <w:t xml:space="preserve">Lin Ft</w:t>
            </w:r>
          </w:p>
        </w:tc>
        <w:tc>
          <w:tcPr/>
          <w:p>
            <w:pPr>
              <w:pStyle w:val="Compact"/>
              <w:jc w:val="left"/>
            </w:pPr>
            <w:r>
              <w:t xml:space="preserve">$68.00</w:t>
            </w:r>
          </w:p>
        </w:tc>
        <w:tc>
          <w:tcPr/>
          <w:p>
            <w:pPr>
              <w:pStyle w:val="Compact"/>
              <w:jc w:val="left"/>
            </w:pPr>
            <w:r>
              <w:t xml:space="preserve">$12,240.00</w:t>
            </w:r>
          </w:p>
        </w:tc>
      </w:tr>
      <w:tr>
        <w:tc>
          <w:tcPr/>
          <w:p>
            <w:pPr>
              <w:pStyle w:val="Compact"/>
              <w:jc w:val="left"/>
            </w:pPr>
            <w:r>
              <w:t xml:space="preserve">7</w:t>
            </w:r>
          </w:p>
        </w:tc>
        <w:tc>
          <w:tcPr/>
          <w:p>
            <w:pPr>
              <w:pStyle w:val="Compact"/>
              <w:jc w:val="left"/>
            </w:pPr>
            <w:r>
              <w:t xml:space="preserve">Site supervision, material delivery coordination, and final finishing (sanding, staining, sealing) by the lead Carpenter and two journeymen</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$320.00</w:t>
            </w:r>
          </w:p>
        </w:tc>
        <w:tc>
          <w:tcPr/>
          <w:p>
            <w:pPr>
              <w:pStyle w:val="Compact"/>
              <w:jc w:val="left"/>
            </w:pPr>
            <w:r>
              <w:t xml:space="preserve">$14,400.00</w:t>
            </w:r>
          </w:p>
        </w:tc>
      </w:tr>
      <w:tr>
        <w:tc>
          <w:tcPr>
            <w:gridSpan w:val="5"/>
          </w:tcPr>
          <w:p>
            <w:pPr>
              <w:pStyle w:val="Compact"/>
              <w:jc w:val="right"/>
            </w:pPr>
            <w:r>
              <w:t xml:space="preserve">Subtotal (CAD)</w:t>
            </w:r>
          </w:p>
        </w:tc>
        <w:tc>
          <w:tcPr/>
          <w:p>
            <w:pPr>
              <w:pStyle w:val="Compact"/>
              <w:jc w:val="left"/>
            </w:pPr>
            <w:r>
              <w:t xml:space="preserve">$130,690.00</w:t>
            </w:r>
          </w:p>
        </w:tc>
      </w:tr>
      <w:tr>
        <w:tc>
          <w:tcPr>
            <w:gridSpan w:val="5"/>
          </w:tcPr>
          <w:p>
            <w:pPr>
              <w:pStyle w:val="Compact"/>
              <w:jc w:val="right"/>
            </w:pPr>
            <w:r>
              <w:t xml:space="preserve">GST (5%)</w:t>
            </w:r>
          </w:p>
        </w:tc>
        <w:tc>
          <w:tcPr/>
          <w:p>
            <w:pPr>
              <w:pStyle w:val="Compact"/>
              <w:jc w:val="left"/>
            </w:pPr>
            <w:r>
              <w:t xml:space="preserve">$6,534.50</w:t>
            </w:r>
          </w:p>
        </w:tc>
      </w:tr>
      <w:tr>
        <w:tc>
          <w:tcPr>
            <w:gridSpan w:val="5"/>
          </w:tcPr>
          <w:p>
            <w:pPr>
              <w:pStyle w:val="Compact"/>
              <w:jc w:val="right"/>
            </w:pPr>
            <w:r>
              <w:t xml:space="preserve">QST (9.975%)</w:t>
            </w:r>
          </w:p>
        </w:tc>
        <w:tc>
          <w:tcPr/>
          <w:p>
            <w:pPr>
              <w:pStyle w:val="Compact"/>
              <w:jc w:val="left"/>
            </w:pPr>
            <w:r>
              <w:t xml:space="preserve">$13,036.43</w:t>
            </w:r>
          </w:p>
        </w:tc>
      </w:tr>
      <w:tr>
        <w:tc>
          <w:tcPr>
            <w:gridSpan w:val="5"/>
          </w:tcPr>
          <w:p>
            <w:pPr>
              <w:pStyle w:val="Compact"/>
              <w:jc w:val="right"/>
            </w:pPr>
            <w:r>
              <w:t xml:space="preserve">TOTAL PURCHASE ORDER AMOUNT (CAD)</w:t>
            </w:r>
          </w:p>
        </w:tc>
        <w:tc>
          <w:tcPr/>
          <w:p>
            <w:pPr>
              <w:pStyle w:val="Compact"/>
              <w:jc w:val="left"/>
            </w:pPr>
            <w:r>
              <w:t xml:space="preserve">$150,260.93</w:t>
            </w:r>
          </w:p>
        </w:tc>
      </w:tr>
    </w:tbl>
    <w:bookmarkEnd w:id="23"/>
    <w:bookmarkStart w:id="24" w:name="delivery-and-execution-location"/>
    <w:p>
      <w:pPr>
        <w:pStyle w:val="Heading2"/>
      </w:pPr>
      <w:r>
        <w:t xml:space="preserve">4. Delivery and Execution Location</w:t>
      </w:r>
    </w:p>
    <w:p>
      <w:pPr>
        <w:pStyle w:val="FirstParagraph"/>
      </w:pPr>
      <w:r>
        <w:t xml:space="preserve">All Carpenter services under this Purchase Order shall be performed at the following location in Canada Montreal:</w:t>
      </w:r>
    </w:p>
    <w:p>
      <w:pPr>
        <w:pStyle w:val="BodyText"/>
      </w:pPr>
      <w:r>
        <w:rPr>
          <w:bCs/>
          <w:b/>
        </w:rPr>
        <w:t xml:space="preserve">Project Site:</w:t>
      </w:r>
      <w:r>
        <w:t xml:space="preserve"> </w:t>
      </w:r>
      <w:r>
        <w:t xml:space="preserve">2200 Avenue du Mont-Royal, Plateau-Mont-Royal, Montreal, Quebec, Canada H2V 1J9</w:t>
      </w:r>
    </w:p>
    <w:p>
      <w:pPr>
        <w:pStyle w:val="BodyText"/>
      </w:pPr>
      <w:r>
        <w:t xml:space="preserve">The Carpenter shall coordinate access with the site manager no fewer than 48 hours in advance of each work session. All materials and equipment shall be staged on-site in accordance with the City of Montreal’s by-law regarding sidewalk and street obstruction (By-law 00-254). The Carpenter is responsible for obtaining any required permits from the Arrondissement du Plateau-Mont-Royal prior to commencing structural work.</w:t>
      </w:r>
    </w:p>
    <w:bookmarkEnd w:id="24"/>
    <w:bookmarkStart w:id="25" w:name="schedule-and-milestones"/>
    <w:p>
      <w:pPr>
        <w:pStyle w:val="Heading2"/>
      </w:pPr>
      <w:r>
        <w:t xml:space="preserve">5.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Payment Trigger</w:t>
            </w:r>
          </w:p>
        </w:tc>
      </w:tr>
      <w:tr>
        <w:tc>
          <w:tcPr/>
          <w:p>
            <w:pPr>
              <w:pStyle w:val="Compact"/>
              <w:jc w:val="left"/>
            </w:pPr>
            <w:r>
              <w:t xml:space="preserve">Project mobilization and material delivery to Montreal site</w:t>
            </w:r>
          </w:p>
        </w:tc>
        <w:tc>
          <w:tcPr/>
          <w:p>
            <w:pPr>
              <w:pStyle w:val="Compact"/>
              <w:jc w:val="left"/>
            </w:pPr>
            <w:r>
              <w:t xml:space="preserve">June 20, 2025</w:t>
            </w:r>
          </w:p>
        </w:tc>
        <w:tc>
          <w:tcPr/>
          <w:p>
            <w:pPr>
              <w:pStyle w:val="Compact"/>
              <w:jc w:val="left"/>
            </w:pPr>
            <w:r>
              <w:t xml:space="preserve">10% upon signing</w:t>
            </w:r>
          </w:p>
        </w:tc>
      </w:tr>
      <w:tr>
        <w:tc>
          <w:tcPr/>
          <w:p>
            <w:pPr>
              <w:pStyle w:val="Compact"/>
              <w:jc w:val="left"/>
            </w:pPr>
            <w:r>
              <w:t xml:space="preserve">Structural carpentry (Item 4) completed</w:t>
            </w:r>
          </w:p>
        </w:tc>
        <w:tc>
          <w:tcPr/>
          <w:p>
            <w:pPr>
              <w:pStyle w:val="Compact"/>
              <w:jc w:val="left"/>
            </w:pPr>
            <w:r>
              <w:t xml:space="preserve">July 10, 2025</w:t>
            </w:r>
          </w:p>
        </w:tc>
        <w:tc>
          <w:tcPr/>
          <w:p>
            <w:pPr>
              <w:pStyle w:val="Compact"/>
              <w:jc w:val="left"/>
            </w:pPr>
            <w:r>
              <w:t xml:space="preserve">20% upon inspection</w:t>
            </w:r>
          </w:p>
        </w:tc>
      </w:tr>
      <w:tr>
        <w:tc>
          <w:tcPr/>
          <w:p>
            <w:pPr>
              <w:pStyle w:val="Compact"/>
              <w:jc w:val="left"/>
            </w:pPr>
            <w:r>
              <w:t xml:space="preserve">Staircase and door installation (Items 1 &amp; 2) completed</w:t>
            </w:r>
          </w:p>
        </w:tc>
        <w:tc>
          <w:tcPr/>
          <w:p>
            <w:pPr>
              <w:pStyle w:val="Compact"/>
              <w:jc w:val="left"/>
            </w:pPr>
            <w:r>
              <w:t xml:space="preserve">August 15, 2025</w:t>
            </w:r>
          </w:p>
        </w:tc>
        <w:tc>
          <w:tcPr/>
          <w:p>
            <w:pPr>
              <w:pStyle w:val="Compact"/>
              <w:jc w:val="left"/>
            </w:pPr>
            <w:r>
              <w:t xml:space="preserve">25% upon inspection</w:t>
            </w:r>
          </w:p>
        </w:tc>
      </w:tr>
      <w:tr>
        <w:tc>
          <w:tcPr/>
          <w:p>
            <w:pPr>
              <w:pStyle w:val="Compact"/>
              <w:jc w:val="left"/>
            </w:pPr>
            <w:r>
              <w:t xml:space="preserve">Cabinetry and flooring (Items 3 &amp; 5) completed</w:t>
            </w:r>
          </w:p>
        </w:tc>
        <w:tc>
          <w:tcPr/>
          <w:p>
            <w:pPr>
              <w:pStyle w:val="Compact"/>
              <w:jc w:val="left"/>
            </w:pPr>
            <w:r>
              <w:t xml:space="preserve">September 15, 2025</w:t>
            </w:r>
          </w:p>
        </w:tc>
        <w:tc>
          <w:tcPr/>
          <w:p>
            <w:pPr>
              <w:pStyle w:val="Compact"/>
              <w:jc w:val="left"/>
            </w:pPr>
            <w:r>
              <w:t xml:space="preserve">25% upon inspection</w:t>
            </w:r>
          </w:p>
        </w:tc>
      </w:tr>
      <w:tr>
        <w:tc>
          <w:tcPr/>
          <w:p>
            <w:pPr>
              <w:pStyle w:val="Compact"/>
              <w:jc w:val="left"/>
            </w:pPr>
            <w:r>
              <w:t xml:space="preserve">Exterior trim and final finishing (Items 6 &amp; 7) completed</w:t>
            </w:r>
          </w:p>
        </w:tc>
        <w:tc>
          <w:tcPr/>
          <w:p>
            <w:pPr>
              <w:pStyle w:val="Compact"/>
              <w:jc w:val="left"/>
            </w:pPr>
            <w:r>
              <w:t xml:space="preserve">October 10, 2025</w:t>
            </w:r>
          </w:p>
        </w:tc>
        <w:tc>
          <w:tcPr/>
          <w:p>
            <w:pPr>
              <w:pStyle w:val="Compact"/>
              <w:jc w:val="left"/>
            </w:pPr>
            <w:r>
              <w:t xml:space="preserve">20% upon final acceptance</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Quebec and the federal laws of Canada applicable in the Province of Quebec. Any disputes arising from this Purchase Order shall be subject to the exclusive jurisdiction of the courts of the judicial district of Montreal, Canada.</w:t>
      </w:r>
    </w:p>
    <w:p>
      <w:pPr>
        <w:numPr>
          <w:ilvl w:val="0"/>
          <w:numId w:val="1001"/>
        </w:numPr>
        <w:pStyle w:val="Compact"/>
      </w:pPr>
      <w:r>
        <w:rPr>
          <w:bCs/>
          <w:b/>
        </w:rPr>
        <w:t xml:space="preserve">Payment Terms:</w:t>
      </w:r>
      <w:r>
        <w:t xml:space="preserve"> </w:t>
      </w:r>
      <w:r>
        <w:t xml:space="preserve">Payment shall be made in Canadian Dollars (CAD) via electronic funds transfer (EFT) to the Carpenter’s designated bank account within thirty (30) days of receipt of a valid invoice. Late payments shall accrue interest at the rate prescribed under the Civil Code of Quebec (currently 5% per annum).</w:t>
      </w:r>
    </w:p>
    <w:p>
      <w:pPr>
        <w:numPr>
          <w:ilvl w:val="0"/>
          <w:numId w:val="1001"/>
        </w:numPr>
        <w:pStyle w:val="Compact"/>
      </w:pPr>
      <w:r>
        <w:rPr>
          <w:bCs/>
          <w:b/>
        </w:rPr>
        <w:t xml:space="preserve">Warranty:</w:t>
      </w:r>
      <w:r>
        <w:t xml:space="preserve"> </w:t>
      </w:r>
      <w:r>
        <w:t xml:space="preserve">The Carpenter warrants that all work performed under this Purchase Order shall be free from defects in materials and workmanship for a period of two (2) years from the date of final acceptance. This warranty is in addition to any statutory warranties under Quebec law.</w:t>
      </w:r>
    </w:p>
    <w:p>
      <w:pPr>
        <w:numPr>
          <w:ilvl w:val="0"/>
          <w:numId w:val="1001"/>
        </w:numPr>
        <w:pStyle w:val="Compact"/>
      </w:pPr>
      <w:r>
        <w:rPr>
          <w:bCs/>
          <w:b/>
        </w:rPr>
        <w:t xml:space="preserve">Insurance and Indemnification:</w:t>
      </w:r>
      <w:r>
        <w:t xml:space="preserve"> </w:t>
      </w:r>
      <w:r>
        <w:t xml:space="preserve">The Carpenter shall maintain, at their own expense, commercial general liability insurance of no less than $2,000,000 CAD per occurrence and workers’ compensation coverage through the CNESST (Commission des normes, de l’équité, de la santé et de la sécurité du travail du Québec) for the duration of the project.</w:t>
      </w:r>
    </w:p>
    <w:p>
      <w:pPr>
        <w:numPr>
          <w:ilvl w:val="0"/>
          <w:numId w:val="1001"/>
        </w:numPr>
        <w:pStyle w:val="Compact"/>
      </w:pPr>
      <w:r>
        <w:rPr>
          <w:bCs/>
          <w:b/>
        </w:rPr>
        <w:t xml:space="preserve">Compliance:</w:t>
      </w:r>
      <w:r>
        <w:t xml:space="preserve"> </w:t>
      </w:r>
      <w:r>
        <w:t xml:space="preserve">The Carpenter shall comply with all applicable federal, provincial, and municipal regulations in Canada Montreal, including but not limited to the Occupational Health and Safety Act (Loi sur la santé et la sécurité du travail), the Environmental Protection Act, and the City of Montreal’s noise and construction by-laws.</w:t>
      </w:r>
    </w:p>
    <w:p>
      <w:pPr>
        <w:numPr>
          <w:ilvl w:val="0"/>
          <w:numId w:val="1001"/>
        </w:numPr>
        <w:pStyle w:val="Compact"/>
      </w:pPr>
      <w:r>
        <w:rPr>
          <w:bCs/>
          <w:b/>
        </w:rPr>
        <w:t xml:space="preserve">Change Orders:</w:t>
      </w:r>
      <w:r>
        <w:t xml:space="preserve"> </w:t>
      </w:r>
      <w:r>
        <w:t xml:space="preserve">Any modification to the scope of Carpenter services described in this Purchase Order must be documented in a written change order signed by both parties prior to execution. No additional compensation shall be owed for work not expressly authorized in writing.</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Carpenter shall be compensated for all work completed and materials procured up to the date of termination, less any applicable set-off.</w:t>
      </w:r>
    </w:p>
    <w:p>
      <w:pPr>
        <w:numPr>
          <w:ilvl w:val="0"/>
          <w:numId w:val="1001"/>
        </w:numPr>
        <w:pStyle w:val="Compact"/>
      </w:pPr>
      <w:r>
        <w:rPr>
          <w:bCs/>
          <w:b/>
        </w:rPr>
        <w:t xml:space="preserve">Confidentiality:</w:t>
      </w:r>
      <w:r>
        <w:t xml:space="preserve"> </w:t>
      </w:r>
      <w:r>
        <w:t xml:space="preserve">Both parties agree to maintain the confidentiality of all proprietary information exchanged in connection with this Purchase Order, in accordance with the Privacy Act (Canada) and the Act respecting the protection of personal information in the private sector (Quebec).</w:t>
      </w:r>
    </w:p>
    <w:p>
      <w:pPr>
        <w:numPr>
          <w:ilvl w:val="0"/>
          <w:numId w:val="1001"/>
        </w:numPr>
        <w:pStyle w:val="Compact"/>
      </w:pPr>
      <w:r>
        <w:rPr>
          <w:bCs/>
          <w:b/>
        </w:rPr>
        <w:t xml:space="preserve">Dispute Resolution:</w:t>
      </w:r>
      <w:r>
        <w:t xml:space="preserve"> </w:t>
      </w:r>
      <w:r>
        <w:t xml:space="preserve">In the event of a dispute, the parties shall first attempt resolution through good-faith negotiation. If unresolved within thirty (30) days, the matter may be submitted to mediation or arbitration under the rules of the ADR Institute of Canada, with proceedings conducted in Montreal, Quebec.</w:t>
      </w:r>
    </w:p>
    <w:p>
      <w:pPr>
        <w:numPr>
          <w:ilvl w:val="0"/>
          <w:numId w:val="1001"/>
        </w:numPr>
        <w:pStyle w:val="Compact"/>
      </w:pPr>
      <w:r>
        <w:rPr>
          <w:bCs/>
          <w:b/>
        </w:rPr>
        <w:t xml:space="preserve">Language:</w:t>
      </w:r>
      <w:r>
        <w:t xml:space="preserve"> </w:t>
      </w:r>
      <w:r>
        <w:t xml:space="preserve">This Purchase Order is executed in English. In the event of any discrepancy between the English and French versions, the French version shall prevail, in accordance with the Charter of the French Language (Loi 101) applicable in Canada Montreal.</w:t>
      </w:r>
    </w:p>
    <w:bookmarkEnd w:id="26"/>
    <w:bookmarkStart w:id="27" w:name="authorization-and-signatures"/>
    <w:p>
      <w:pPr>
        <w:pStyle w:val="Heading2"/>
      </w:pPr>
      <w:r>
        <w:t xml:space="preserve">7. Authorization and Signatures</w:t>
      </w:r>
    </w:p>
    <w:p>
      <w:pPr>
        <w:pStyle w:val="FirstParagraph"/>
      </w:pPr>
      <w:r>
        <w:t xml:space="preserve">By signing below, the parties acknowledge and agree to all terms, conditions, and obligations set forth in this Purchase Order for Carpenter services to be performed in Canada Montreal.</w:t>
      </w:r>
    </w:p>
    <w:bookmarkEnd w:id="27"/>
    <w:p>
      <w:pPr>
        <w:pStyle w:val="BodyText"/>
      </w:pPr>
      <w:r>
        <w:rPr>
          <w:bCs/>
          <w:b/>
        </w:rPr>
        <w:t xml:space="preserve">For and on behalf of the Buyer:</w:t>
      </w:r>
      <w:r>
        <w:br/>
      </w:r>
      <w:r>
        <w:t xml:space="preserve">Montreal Heritage Restoration Inc.</w:t>
      </w:r>
    </w:p>
    <w:p>
      <w:pPr>
        <w:pStyle w:val="BodyText"/>
      </w:pPr>
      <w:r>
        <w:t xml:space="preserve">Marc-André Tremblay</w:t>
      </w:r>
      <w:r>
        <w:br/>
      </w:r>
      <w:r>
        <w:t xml:space="preserve">Project Director</w:t>
      </w:r>
      <w:r>
        <w:br/>
      </w:r>
      <w:r>
        <w:t xml:space="preserve">Date: ______________________</w:t>
      </w:r>
    </w:p>
    <w:p>
      <w:pPr>
        <w:pStyle w:val="BodyText"/>
      </w:pPr>
      <w:r>
        <w:rPr>
          <w:bCs/>
          <w:b/>
        </w:rPr>
        <w:t xml:space="preserve">For and on behalf of the Carpenter / Vendor:</w:t>
      </w:r>
      <w:r>
        <w:br/>
      </w:r>
      <w:r>
        <w:t xml:space="preserve">Fortin &amp; Fils Charpenterie Inc.</w:t>
      </w:r>
    </w:p>
    <w:p>
      <w:pPr>
        <w:pStyle w:val="BodyText"/>
      </w:pPr>
      <w:r>
        <w:t xml:space="preserve">Lucien Fortin</w:t>
      </w:r>
      <w:r>
        <w:br/>
      </w:r>
      <w:r>
        <w:t xml:space="preserve">Master Carpenter / Owner</w:t>
      </w:r>
      <w:r>
        <w:br/>
      </w:r>
      <w:r>
        <w:t xml:space="preserve">Date: ______________________</w:t>
      </w:r>
    </w:p>
    <w:p>
      <w:pPr>
        <w:pStyle w:val="BodyText"/>
      </w:pPr>
      <w:r>
        <w:t xml:space="preserve">Purchase Order No. PO-MTL-2025-04872 — Issued in Montreal, Quebec, Canada — June 12, 2025</w:t>
      </w:r>
    </w:p>
    <w:p>
      <w:pPr>
        <w:pStyle w:val="BodyText"/>
      </w:pPr>
      <w:r>
        <w:t xml:space="preserve">This document constitutes a binding procurement instrument for Carpenter services. All references to Canada Montreal denote the City of Montreal within the Province of Quebec, Canada, as the governing jurisdiction for this Purchase Order.</w:t>
      </w:r>
    </w:p>
    <w:p>
      <w:pPr>
        <w:pStyle w:val="BodyText"/>
      </w:pPr>
      <w:r>
        <w:t xml:space="preserve">© 2025 Montreal Heritage Restoration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Canada Montreal</dc:title>
  <dc:creator/>
  <dc:language>en</dc:language>
  <cp:keywords/>
  <dcterms:created xsi:type="dcterms:W3CDTF">2026-10-10T03:01:07Z</dcterms:created>
  <dcterms:modified xsi:type="dcterms:W3CDTF">2026-10-10T03:01:07Z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