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Carpenter</w:t>
      </w:r>
      <w:r>
        <w:t xml:space="preserve"> </w:t>
      </w:r>
      <w:r>
        <w:t xml:space="preserve">Services</w:t>
      </w:r>
      <w:r>
        <w:t xml:space="preserve"> </w:t>
      </w:r>
      <w:r>
        <w:t xml:space="preserve">-</w:t>
      </w:r>
      <w:r>
        <w:t xml:space="preserve"> </w:t>
      </w:r>
      <w:r>
        <w:t xml:space="preserve">Germany</w:t>
      </w:r>
      <w:r>
        <w:t xml:space="preserve"> </w:t>
      </w:r>
      <w:r>
        <w:t xml:space="preserve">Frankfurt</w:t>
      </w:r>
    </w:p>
    <w:bookmarkStart w:id="20" w:name="purchase-order"/>
    <w:p>
      <w:pPr>
        <w:pStyle w:val="Heading1"/>
      </w:pPr>
      <w:r>
        <w:t xml:space="preserve">PURCHASE ORDER</w:t>
      </w:r>
    </w:p>
    <w:p>
      <w:pPr>
        <w:pStyle w:val="FirstParagraph"/>
      </w:pPr>
      <w:r>
        <w:t xml:space="preserve">Professional Carpenter Services — Germany Frankfurt</w:t>
      </w:r>
    </w:p>
    <w:p>
      <w:pPr>
        <w:pStyle w:val="BodyText"/>
      </w:pPr>
      <w:r>
        <w:t xml:space="preserve">This Purchase Order document governs all terms, conditions, and specifications for the engagement of Carpenter services within the Germany Frankfurt metropolitan area.</w:t>
      </w:r>
    </w:p>
    <w:bookmarkEnd w:id="20"/>
    <w:p>
      <w:pPr>
        <w:pStyle w:val="BodyText"/>
      </w:pPr>
      <w:r>
        <w:rPr>
          <w:bCs/>
          <w:b/>
        </w:rPr>
        <w:t xml:space="preserve">Purchase Order No.:</w:t>
      </w:r>
      <w:r>
        <w:t xml:space="preserve"> </w:t>
      </w:r>
      <w:r>
        <w:t xml:space="preserve">PO-2025-FRA-04872</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p>
    <w:p>
      <w:pPr>
        <w:pStyle w:val="BodyText"/>
      </w:pPr>
      <w:r>
        <w:rPr>
          <w:bCs/>
          <w:b/>
        </w:rPr>
        <w:t xml:space="preserve">Project Location:</w:t>
      </w:r>
      <w:r>
        <w:t xml:space="preserve"> </w:t>
      </w:r>
      <w:r>
        <w:t xml:space="preserve">Germany Frankfurt</w:t>
      </w:r>
      <w:r>
        <w:br/>
      </w:r>
      <w:r>
        <w:rPr>
          <w:bCs/>
          <w:b/>
        </w:rPr>
        <w:t xml:space="preserve">Site Address:</w:t>
      </w:r>
      <w:r>
        <w:t xml:space="preserve"> </w:t>
      </w:r>
      <w:r>
        <w:t xml:space="preserve">Bockenheimer Landstr. 142, 60323 Frankfurt am Main</w:t>
      </w:r>
      <w:r>
        <w:br/>
      </w:r>
      <w:r>
        <w:rPr>
          <w:bCs/>
          <w:b/>
        </w:rPr>
        <w:t xml:space="preserve">Country:</w:t>
      </w:r>
      <w:r>
        <w:t xml:space="preserve"> </w:t>
      </w:r>
      <w:r>
        <w:t xml:space="preserve">Federal Republic of Germany</w:t>
      </w:r>
    </w:p>
    <w:bookmarkStart w:id="21" w:name="parties-involved"/>
    <w:p>
      <w:pPr>
        <w:pStyle w:val="Heading2"/>
      </w:pPr>
      <w:r>
        <w:t xml:space="preserve">1. Parties Involved</w:t>
      </w:r>
    </w:p>
    <w:tbl>
      <w:tblPr>
        <w:tblStyle w:val="Table"/>
        <w:tblW w:type="pct" w:w="5000"/>
        <w:tblLook w:firstRow="1" w:lastRow="0" w:firstColumn="0" w:lastColumn="0" w:noHBand="0" w:noVBand="0" w:val="0020"/>
      </w:tblPr>
      <w:tblGrid>
        <w:gridCol w:w="2640"/>
        <w:gridCol w:w="2640"/>
        <w:gridCol w:w="2640"/>
      </w:tblGrid>
      <w:tr>
        <w:trPr>
          <w:tblHeader w:val="true"/>
        </w:trPr>
        <w:tc>
          <w:tcPr/>
          <w:p>
            <w:pPr>
              <w:pStyle w:val="Compact"/>
              <w:jc w:val="left"/>
            </w:pPr>
            <w:r>
              <w:t xml:space="preserve">Role</w:t>
            </w:r>
          </w:p>
        </w:tc>
        <w:tc>
          <w:tcPr/>
          <w:p>
            <w:pPr>
              <w:pStyle w:val="Compact"/>
              <w:jc w:val="left"/>
            </w:pPr>
            <w:r>
              <w:t xml:space="preserve">Company / Individual</w:t>
            </w:r>
          </w:p>
        </w:tc>
        <w:tc>
          <w:tcPr/>
          <w:p>
            <w:pPr>
              <w:pStyle w:val="Compact"/>
              <w:jc w:val="left"/>
            </w:pPr>
            <w:r>
              <w:t xml:space="preserve">Contact Details</w:t>
            </w:r>
          </w:p>
        </w:tc>
      </w:tr>
      <w:tr>
        <w:tc>
          <w:tcPr/>
          <w:p>
            <w:pPr>
              <w:pStyle w:val="Compact"/>
              <w:jc w:val="left"/>
            </w:pPr>
            <w:r>
              <w:rPr>
                <w:bCs/>
                <w:b/>
              </w:rPr>
              <w:t xml:space="preserve">Buyer (Client)</w:t>
            </w:r>
          </w:p>
        </w:tc>
        <w:tc>
          <w:tcPr/>
          <w:p>
            <w:pPr>
              <w:pStyle w:val="Compact"/>
              <w:jc w:val="left"/>
            </w:pPr>
            <w:r>
              <w:t xml:space="preserve">Frankfurt Commercial Properties GmbH</w:t>
            </w:r>
            <w:r>
              <w:br/>
            </w:r>
            <w:r>
              <w:t xml:space="preserve">Registered in Frankfurt am Main, Germany</w:t>
            </w:r>
          </w:p>
        </w:tc>
        <w:tc>
          <w:tcPr/>
          <w:p>
            <w:pPr>
              <w:pStyle w:val="Compact"/>
              <w:jc w:val="left"/>
            </w:pPr>
            <w:r>
              <w:t xml:space="preserve">Attn: Dr. Heinrich Vogel, Procurement Director</w:t>
            </w:r>
            <w:r>
              <w:br/>
            </w:r>
            <w:r>
              <w:t xml:space="preserve">Tel: +49 69 5550 1234</w:t>
            </w:r>
            <w:r>
              <w:br/>
            </w:r>
            <w:r>
              <w:t xml:space="preserve">Email: procurement@fcpgmbh.de</w:t>
            </w:r>
          </w:p>
        </w:tc>
      </w:tr>
      <w:tr>
        <w:tc>
          <w:tcPr/>
          <w:p>
            <w:pPr>
              <w:pStyle w:val="Compact"/>
              <w:jc w:val="left"/>
            </w:pPr>
            <w:r>
              <w:rPr>
                <w:bCs/>
                <w:b/>
              </w:rPr>
              <w:t xml:space="preserve">Seller (Carpenter Contractor)</w:t>
            </w:r>
          </w:p>
        </w:tc>
        <w:tc>
          <w:tcPr/>
          <w:p>
            <w:pPr>
              <w:pStyle w:val="Compact"/>
              <w:jc w:val="left"/>
            </w:pPr>
            <w:r>
              <w:t xml:space="preserve">Meisterwerk Holzbau &amp; Carpenter Services UG</w:t>
            </w:r>
            <w:r>
              <w:br/>
            </w:r>
            <w:r>
              <w:t xml:space="preserve">Master Carpenter Workshop, Frankfurt am Main</w:t>
            </w:r>
          </w:p>
        </w:tc>
        <w:tc>
          <w:tcPr/>
          <w:p>
            <w:pPr>
              <w:pStyle w:val="Compact"/>
              <w:jc w:val="left"/>
            </w:pPr>
            <w:r>
              <w:t xml:space="preserve">Attn: Klaus Brenner, Master Carpenter (Meister)</w:t>
            </w:r>
            <w:r>
              <w:br/>
            </w:r>
            <w:r>
              <w:t xml:space="preserve">Tel: +49 69 7788 4521</w:t>
            </w:r>
            <w:r>
              <w:br/>
            </w:r>
            <w:r>
              <w:t xml:space="preserve">Email: k.brenner@meisterwerk-frankfurt.de</w:t>
            </w:r>
          </w:p>
        </w:tc>
      </w:tr>
    </w:tbl>
    <w:bookmarkEnd w:id="21"/>
    <w:bookmarkStart w:id="22" w:name="Xc286854e952ac2989bc59358e4cf0fa10bd6e5e"/>
    <w:p>
      <w:pPr>
        <w:pStyle w:val="Heading2"/>
      </w:pPr>
      <w:r>
        <w:t xml:space="preserve">2. Scope of Work — Carpenter Services in Germany Frankfurt</w:t>
      </w:r>
    </w:p>
    <w:p>
      <w:pPr>
        <w:pStyle w:val="FirstParagraph"/>
      </w:pPr>
      <w:r>
        <w:t xml:space="preserve">This Purchase Order authorizes the Seller, a licensed and certified</w:t>
      </w:r>
      <w:r>
        <w:t xml:space="preserve"> </w:t>
      </w:r>
      <w:r>
        <w:t xml:space="preserve">Carpenter</w:t>
      </w:r>
      <w:r>
        <w:t xml:space="preserve"> </w:t>
      </w:r>
      <w:r>
        <w:t xml:space="preserve">operating under the German Meisterbrief (Master Craftsman) qualification, to perform comprehensive carpentry and joinery services at the Buyer's commercial property located in</w:t>
      </w:r>
      <w:r>
        <w:t xml:space="preserve"> </w:t>
      </w:r>
      <w:r>
        <w:t xml:space="preserve">Germany Frankfurt</w:t>
      </w:r>
      <w:r>
        <w:t xml:space="preserve">. The Carpenter shall be responsible for all structural woodwork, custom cabinetry, interior finishing, and related tasks as detailed in the line items below. All work must comply with the German Building Code (Landesbauordnung Hesse), DIN standards, and the specific regulations governing construction and renovation activities in the Frankfurt am Main municipal district.</w:t>
      </w:r>
    </w:p>
    <w:bookmarkEnd w:id="22"/>
    <w:bookmarkStart w:id="23" w:name="line-items-pricing"/>
    <w:p>
      <w:pPr>
        <w:pStyle w:val="Heading2"/>
      </w:pPr>
      <w:r>
        <w:t xml:space="preserve">3. Line Items &amp;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 of Carpenter Work</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Structural timber framing and load-bearing beam installation for the second-floor renovation, Germany Frankfurt site</w:t>
            </w:r>
          </w:p>
        </w:tc>
        <w:tc>
          <w:tcPr/>
          <w:p>
            <w:pPr>
              <w:pStyle w:val="Compact"/>
              <w:jc w:val="left"/>
            </w:pPr>
            <w:r>
              <w:t xml:space="preserve">1</w:t>
            </w:r>
          </w:p>
        </w:tc>
        <w:tc>
          <w:tcPr/>
          <w:p>
            <w:pPr>
              <w:pStyle w:val="Compact"/>
              <w:jc w:val="left"/>
            </w:pPr>
            <w:r>
              <w:t xml:space="preserve">Lot</w:t>
            </w:r>
          </w:p>
        </w:tc>
        <w:tc>
          <w:tcPr/>
          <w:p>
            <w:pPr>
              <w:pStyle w:val="Compact"/>
              <w:jc w:val="left"/>
            </w:pPr>
            <w:r>
              <w:t xml:space="preserve">12,400.00</w:t>
            </w:r>
          </w:p>
        </w:tc>
        <w:tc>
          <w:tcPr/>
          <w:p>
            <w:pPr>
              <w:pStyle w:val="Compact"/>
              <w:jc w:val="left"/>
            </w:pPr>
            <w:r>
              <w:t xml:space="preserve">12,400.00</w:t>
            </w:r>
          </w:p>
        </w:tc>
      </w:tr>
      <w:tr>
        <w:tc>
          <w:tcPr/>
          <w:p>
            <w:pPr>
              <w:pStyle w:val="Compact"/>
              <w:jc w:val="left"/>
            </w:pPr>
            <w:r>
              <w:t xml:space="preserve">02</w:t>
            </w:r>
          </w:p>
        </w:tc>
        <w:tc>
          <w:tcPr/>
          <w:p>
            <w:pPr>
              <w:pStyle w:val="Compact"/>
              <w:jc w:val="left"/>
            </w:pPr>
            <w:r>
              <w:t xml:space="preserve">Custom hardwood cabinetry (oak, FSC-certified) for executive office suite — design, fabrication, and installation</w:t>
            </w:r>
          </w:p>
        </w:tc>
        <w:tc>
          <w:tcPr/>
          <w:p>
            <w:pPr>
              <w:pStyle w:val="Compact"/>
              <w:jc w:val="left"/>
            </w:pPr>
            <w:r>
              <w:t xml:space="preserve">6</w:t>
            </w:r>
          </w:p>
        </w:tc>
        <w:tc>
          <w:tcPr/>
          <w:p>
            <w:pPr>
              <w:pStyle w:val="Compact"/>
              <w:jc w:val="left"/>
            </w:pPr>
            <w:r>
              <w:t xml:space="preserve">Units</w:t>
            </w:r>
          </w:p>
        </w:tc>
        <w:tc>
          <w:tcPr/>
          <w:p>
            <w:pPr>
              <w:pStyle w:val="Compact"/>
              <w:jc w:val="left"/>
            </w:pPr>
            <w:r>
              <w:t xml:space="preserve">3,850.00</w:t>
            </w:r>
          </w:p>
        </w:tc>
        <w:tc>
          <w:tcPr/>
          <w:p>
            <w:pPr>
              <w:pStyle w:val="Compact"/>
              <w:jc w:val="left"/>
            </w:pPr>
            <w:r>
              <w:t xml:space="preserve">23,100.00</w:t>
            </w:r>
          </w:p>
        </w:tc>
      </w:tr>
      <w:tr>
        <w:tc>
          <w:tcPr/>
          <w:p>
            <w:pPr>
              <w:pStyle w:val="Compact"/>
              <w:jc w:val="left"/>
            </w:pPr>
            <w:r>
              <w:t xml:space="preserve">03</w:t>
            </w:r>
          </w:p>
        </w:tc>
        <w:tc>
          <w:tcPr/>
          <w:p>
            <w:pPr>
              <w:pStyle w:val="Compact"/>
              <w:jc w:val="left"/>
            </w:pPr>
            <w:r>
              <w:t xml:space="preserve">Interior wall paneling and wainscoting in solid beech wood, including finishing and varnishing</w:t>
            </w:r>
          </w:p>
        </w:tc>
        <w:tc>
          <w:tcPr/>
          <w:p>
            <w:pPr>
              <w:pStyle w:val="Compact"/>
              <w:jc w:val="left"/>
            </w:pPr>
            <w:r>
              <w:t xml:space="preserve">240</w:t>
            </w:r>
          </w:p>
        </w:tc>
        <w:tc>
          <w:tcPr/>
          <w:p>
            <w:pPr>
              <w:pStyle w:val="Compact"/>
              <w:jc w:val="left"/>
            </w:pPr>
            <w:r>
              <w:t xml:space="preserve">m²</w:t>
            </w:r>
          </w:p>
        </w:tc>
        <w:tc>
          <w:tcPr/>
          <w:p>
            <w:pPr>
              <w:pStyle w:val="Compact"/>
              <w:jc w:val="left"/>
            </w:pPr>
            <w:r>
              <w:t xml:space="preserve">185.00</w:t>
            </w:r>
          </w:p>
        </w:tc>
        <w:tc>
          <w:tcPr/>
          <w:p>
            <w:pPr>
              <w:pStyle w:val="Compact"/>
              <w:jc w:val="left"/>
            </w:pPr>
            <w:r>
              <w:t xml:space="preserve">44,400.00</w:t>
            </w:r>
          </w:p>
        </w:tc>
      </w:tr>
      <w:tr>
        <w:tc>
          <w:tcPr/>
          <w:p>
            <w:pPr>
              <w:pStyle w:val="Compact"/>
              <w:jc w:val="left"/>
            </w:pPr>
            <w:r>
              <w:t xml:space="preserve">04</w:t>
            </w:r>
          </w:p>
        </w:tc>
        <w:tc>
          <w:tcPr/>
          <w:p>
            <w:pPr>
              <w:pStyle w:val="Compact"/>
              <w:jc w:val="left"/>
            </w:pPr>
            <w:r>
              <w:t xml:space="preserve">Installation of solid wood parquet flooring (European oak, herringbone pattern) across three floors</w:t>
            </w:r>
          </w:p>
        </w:tc>
        <w:tc>
          <w:tcPr/>
          <w:p>
            <w:pPr>
              <w:pStyle w:val="Compact"/>
              <w:jc w:val="left"/>
            </w:pPr>
            <w:r>
              <w:t xml:space="preserve">420</w:t>
            </w:r>
          </w:p>
        </w:tc>
        <w:tc>
          <w:tcPr/>
          <w:p>
            <w:pPr>
              <w:pStyle w:val="Compact"/>
              <w:jc w:val="left"/>
            </w:pPr>
            <w:r>
              <w:t xml:space="preserve">m²</w:t>
            </w:r>
          </w:p>
        </w:tc>
        <w:tc>
          <w:tcPr/>
          <w:p>
            <w:pPr>
              <w:pStyle w:val="Compact"/>
              <w:jc w:val="left"/>
            </w:pPr>
            <w:r>
              <w:t xml:space="preserve">142.00</w:t>
            </w:r>
          </w:p>
        </w:tc>
        <w:tc>
          <w:tcPr/>
          <w:p>
            <w:pPr>
              <w:pStyle w:val="Compact"/>
              <w:jc w:val="left"/>
            </w:pPr>
            <w:r>
              <w:t xml:space="preserve">59,640.00</w:t>
            </w:r>
          </w:p>
        </w:tc>
      </w:tr>
      <w:tr>
        <w:tc>
          <w:tcPr/>
          <w:p>
            <w:pPr>
              <w:pStyle w:val="Compact"/>
              <w:jc w:val="left"/>
            </w:pPr>
            <w:r>
              <w:t xml:space="preserve">05</w:t>
            </w:r>
          </w:p>
        </w:tc>
        <w:tc>
          <w:tcPr/>
          <w:p>
            <w:pPr>
              <w:pStyle w:val="Compact"/>
              <w:jc w:val="left"/>
            </w:pPr>
            <w:r>
              <w:t xml:space="preserve">Custom-built wooden staircase with handrail, balusters, and landing platform</w:t>
            </w:r>
          </w:p>
        </w:tc>
        <w:tc>
          <w:tcPr/>
          <w:p>
            <w:pPr>
              <w:pStyle w:val="Compact"/>
              <w:jc w:val="left"/>
            </w:pPr>
            <w:r>
              <w:t xml:space="preserve">1</w:t>
            </w:r>
          </w:p>
        </w:tc>
        <w:tc>
          <w:tcPr/>
          <w:p>
            <w:pPr>
              <w:pStyle w:val="Compact"/>
              <w:jc w:val="left"/>
            </w:pPr>
            <w:r>
              <w:t xml:space="preserve">Unit</w:t>
            </w:r>
          </w:p>
        </w:tc>
        <w:tc>
          <w:tcPr/>
          <w:p>
            <w:pPr>
              <w:pStyle w:val="Compact"/>
              <w:jc w:val="left"/>
            </w:pPr>
            <w:r>
              <w:t xml:space="preserve">18,750.00</w:t>
            </w:r>
          </w:p>
        </w:tc>
        <w:tc>
          <w:tcPr/>
          <w:p>
            <w:pPr>
              <w:pStyle w:val="Compact"/>
              <w:jc w:val="left"/>
            </w:pPr>
            <w:r>
              <w:t xml:space="preserve">18,750.00</w:t>
            </w:r>
          </w:p>
        </w:tc>
      </w:tr>
      <w:tr>
        <w:tc>
          <w:tcPr/>
          <w:p>
            <w:pPr>
              <w:pStyle w:val="Compact"/>
              <w:jc w:val="left"/>
            </w:pPr>
            <w:r>
              <w:t xml:space="preserve">06</w:t>
            </w:r>
          </w:p>
        </w:tc>
        <w:tc>
          <w:tcPr/>
          <w:p>
            <w:pPr>
              <w:pStyle w:val="Compact"/>
              <w:jc w:val="left"/>
            </w:pPr>
            <w:r>
              <w:t xml:space="preserve">Repair and reinforcement of existing wooden window frames and door casings throughout the building</w:t>
            </w:r>
          </w:p>
        </w:tc>
        <w:tc>
          <w:tcPr/>
          <w:p>
            <w:pPr>
              <w:pStyle w:val="Compact"/>
              <w:jc w:val="left"/>
            </w:pPr>
            <w:r>
              <w:t xml:space="preserve">34</w:t>
            </w:r>
          </w:p>
        </w:tc>
        <w:tc>
          <w:tcPr/>
          <w:p>
            <w:pPr>
              <w:pStyle w:val="Compact"/>
              <w:jc w:val="left"/>
            </w:pPr>
            <w:r>
              <w:t xml:space="preserve">Units</w:t>
            </w:r>
          </w:p>
        </w:tc>
        <w:tc>
          <w:tcPr/>
          <w:p>
            <w:pPr>
              <w:pStyle w:val="Compact"/>
              <w:jc w:val="left"/>
            </w:pPr>
            <w:r>
              <w:t xml:space="preserve">420.00</w:t>
            </w:r>
          </w:p>
        </w:tc>
        <w:tc>
          <w:tcPr/>
          <w:p>
            <w:pPr>
              <w:pStyle w:val="Compact"/>
              <w:jc w:val="left"/>
            </w:pPr>
            <w:r>
              <w:t xml:space="preserve">14,280.00</w:t>
            </w:r>
          </w:p>
        </w:tc>
      </w:tr>
      <w:tr>
        <w:tc>
          <w:tcPr/>
          <w:p>
            <w:pPr>
              <w:pStyle w:val="Compact"/>
              <w:jc w:val="left"/>
            </w:pPr>
            <w:r>
              <w:t xml:space="preserve">07</w:t>
            </w:r>
          </w:p>
        </w:tc>
        <w:tc>
          <w:tcPr/>
          <w:p>
            <w:pPr>
              <w:pStyle w:val="Compact"/>
              <w:jc w:val="left"/>
            </w:pPr>
            <w:r>
              <w:t xml:space="preserve">Site supervision, project management, and Carpenter team coordination (dedicated foreman on-site, Germany Frankfurt)</w:t>
            </w:r>
          </w:p>
        </w:tc>
        <w:tc>
          <w:tcPr/>
          <w:p>
            <w:pPr>
              <w:pStyle w:val="Compact"/>
              <w:jc w:val="left"/>
            </w:pPr>
            <w:r>
              <w:t xml:space="preserve">45</w:t>
            </w:r>
          </w:p>
        </w:tc>
        <w:tc>
          <w:tcPr/>
          <w:p>
            <w:pPr>
              <w:pStyle w:val="Compact"/>
              <w:jc w:val="left"/>
            </w:pPr>
            <w:r>
              <w:t xml:space="preserve">Days</w:t>
            </w:r>
          </w:p>
        </w:tc>
        <w:tc>
          <w:tcPr/>
          <w:p>
            <w:pPr>
              <w:pStyle w:val="Compact"/>
              <w:jc w:val="left"/>
            </w:pPr>
            <w:r>
              <w:t xml:space="preserve">380.00</w:t>
            </w:r>
          </w:p>
        </w:tc>
        <w:tc>
          <w:tcPr/>
          <w:p>
            <w:pPr>
              <w:pStyle w:val="Compact"/>
              <w:jc w:val="left"/>
            </w:pPr>
            <w:r>
              <w:t xml:space="preserve">17,100.00</w:t>
            </w:r>
          </w:p>
        </w:tc>
      </w:tr>
      <w:tr>
        <w:tc>
          <w:tcPr/>
          <w:p>
            <w:pPr>
              <w:pStyle w:val="Compact"/>
              <w:jc w:val="left"/>
            </w:pPr>
            <w:r>
              <w:t xml:space="preserve">08</w:t>
            </w:r>
          </w:p>
        </w:tc>
        <w:tc>
          <w:tcPr/>
          <w:p>
            <w:pPr>
              <w:pStyle w:val="Compact"/>
              <w:jc w:val="left"/>
            </w:pPr>
            <w:r>
              <w:t xml:space="preserve">Waste removal, site cleanup, and disposal in accordance with Frankfurt municipal regulations</w:t>
            </w:r>
          </w:p>
        </w:tc>
        <w:tc>
          <w:tcPr/>
          <w:p>
            <w:pPr>
              <w:pStyle w:val="Compact"/>
              <w:jc w:val="left"/>
            </w:pPr>
            <w:r>
              <w:t xml:space="preserve">1</w:t>
            </w:r>
          </w:p>
        </w:tc>
        <w:tc>
          <w:tcPr/>
          <w:p>
            <w:pPr>
              <w:pStyle w:val="Compact"/>
              <w:jc w:val="left"/>
            </w:pPr>
            <w:r>
              <w:t xml:space="preserve">Lot</w:t>
            </w:r>
          </w:p>
        </w:tc>
        <w:tc>
          <w:tcPr/>
          <w:p>
            <w:pPr>
              <w:pStyle w:val="Compact"/>
              <w:jc w:val="left"/>
            </w:pPr>
            <w:r>
              <w:t xml:space="preserve">2,350.00</w:t>
            </w:r>
          </w:p>
        </w:tc>
        <w:tc>
          <w:tcPr/>
          <w:p>
            <w:pPr>
              <w:pStyle w:val="Compact"/>
              <w:jc w:val="left"/>
            </w:pPr>
            <w:r>
              <w:t xml:space="preserve">2,350.00</w:t>
            </w:r>
          </w:p>
        </w:tc>
      </w:tr>
      <w:tr>
        <w:tc>
          <w:tcPr>
            <w:gridSpan w:val="5"/>
          </w:tcPr>
          <w:p>
            <w:pPr>
              <w:pStyle w:val="Compact"/>
              <w:jc w:val="right"/>
            </w:pPr>
            <w:r>
              <w:t xml:space="preserve">Subtotal</w:t>
            </w:r>
          </w:p>
        </w:tc>
        <w:tc>
          <w:tcPr/>
          <w:p>
            <w:pPr>
              <w:pStyle w:val="Compact"/>
              <w:jc w:val="left"/>
            </w:pPr>
            <w:r>
              <w:t xml:space="preserve">192,020.00</w:t>
            </w:r>
          </w:p>
        </w:tc>
      </w:tr>
      <w:tr>
        <w:tc>
          <w:tcPr>
            <w:gridSpan w:val="5"/>
          </w:tcPr>
          <w:p>
            <w:pPr>
              <w:pStyle w:val="Compact"/>
              <w:jc w:val="right"/>
            </w:pPr>
            <w:r>
              <w:t xml:space="preserve">VAT (19% — German Standard Rate)</w:t>
            </w:r>
          </w:p>
        </w:tc>
        <w:tc>
          <w:tcPr/>
          <w:p>
            <w:pPr>
              <w:pStyle w:val="Compact"/>
              <w:jc w:val="left"/>
            </w:pPr>
            <w:r>
              <w:t xml:space="preserve">36,483.80</w:t>
            </w:r>
          </w:p>
        </w:tc>
      </w:tr>
      <w:tr>
        <w:tc>
          <w:tcPr>
            <w:gridSpan w:val="5"/>
          </w:tcPr>
          <w:p>
            <w:pPr>
              <w:pStyle w:val="Compact"/>
              <w:jc w:val="right"/>
            </w:pPr>
            <w:r>
              <w:t xml:space="preserve">TOTAL AMOUNT DUE (EUR)</w:t>
            </w:r>
          </w:p>
        </w:tc>
        <w:tc>
          <w:tcPr/>
          <w:p>
            <w:pPr>
              <w:pStyle w:val="Compact"/>
              <w:jc w:val="left"/>
            </w:pPr>
            <w:r>
              <w:t xml:space="preserve">228,503.80</w:t>
            </w:r>
          </w:p>
        </w:tc>
      </w:tr>
    </w:tbl>
    <w:bookmarkEnd w:id="23"/>
    <w:bookmarkStart w:id="24" w:name="delivery-schedule"/>
    <w:p>
      <w:pPr>
        <w:pStyle w:val="Heading2"/>
      </w:pPr>
      <w:r>
        <w:t xml:space="preserve">4. Delivery &amp; Schedule</w:t>
      </w:r>
    </w:p>
    <w:p>
      <w:pPr>
        <w:pStyle w:val="FirstParagraph"/>
      </w:pPr>
      <w:r>
        <w:t xml:space="preserve">The Carpenter shall commence work on</w:t>
      </w:r>
      <w:r>
        <w:t xml:space="preserve"> </w:t>
      </w:r>
      <w:r>
        <w:rPr>
          <w:bCs/>
          <w:b/>
        </w:rPr>
        <w:t xml:space="preserve">1 July 2025</w:t>
      </w:r>
      <w:r>
        <w:t xml:space="preserve"> </w:t>
      </w:r>
      <w:r>
        <w:t xml:space="preserve">at the Germany Frankfurt site and shall complete all scope items no later than</w:t>
      </w:r>
      <w:r>
        <w:t xml:space="preserve"> </w:t>
      </w:r>
      <w:r>
        <w:rPr>
          <w:bCs/>
          <w:b/>
        </w:rPr>
        <w:t xml:space="preserve">15 August 2025</w:t>
      </w:r>
      <w:r>
        <w:t xml:space="preserve">. All materials and finished carpentry components must be delivered to the site in Frankfurt am Main no fewer than five (5) business days prior to their scheduled installation. The Carpenter is required to submit a detailed weekly progress report to the Buyer's project manager every Friday by 17:00 CET.</w:t>
      </w:r>
    </w:p>
    <w:bookmarkEnd w:id="24"/>
    <w:bookmarkStart w:id="25" w:name="payment-terms"/>
    <w:p>
      <w:pPr>
        <w:pStyle w:val="Heading2"/>
      </w:pPr>
      <w:r>
        <w:t xml:space="preserve">5. Payment Terms</w:t>
      </w:r>
    </w:p>
    <w:p>
      <w:pPr>
        <w:pStyle w:val="FirstParagraph"/>
      </w:pPr>
      <w:r>
        <w:t xml:space="preserve">Payment for this Purchase Order shall be made in accordance with the following schedule: a 30% advance payment (EUR 68,551.14) upon execution of this Purchase Order; 40% (EUR 91,401.52) upon completion of structural and flooring work (Items 01, 04, and 06); and the remaining 30% (EUR 68,551.14) upon final inspection, sign-off, and issuance of the completion certificate by the Buyer. All payments shall be made via bank transfer to the Carpenter's designated account in Frankfurt. Invoices must reference this Purchase Order number (PO-2025-FRA-04872) and shall be payable within thirty (30) calendar days of receipt.</w:t>
      </w:r>
    </w:p>
    <w:bookmarkEnd w:id="25"/>
    <w:bookmarkStart w:id="26" w:name="terms-conditions"/>
    <w:p>
      <w:pPr>
        <w:pStyle w:val="Heading2"/>
      </w:pPr>
      <w:r>
        <w:t xml:space="preserve">6. Terms &amp; Conditions</w:t>
      </w:r>
    </w:p>
    <w:p>
      <w:pPr>
        <w:numPr>
          <w:ilvl w:val="0"/>
          <w:numId w:val="1001"/>
        </w:numPr>
        <w:pStyle w:val="Compact"/>
      </w:pPr>
      <w:r>
        <w:t xml:space="preserve">This Purchase Order is governed by the laws of the Federal Republic of Germany. Any disputes arising from this Purchase Order shall be subject to the exclusive jurisdiction of the competent courts in Frankfurt am Main, Germany.</w:t>
      </w:r>
    </w:p>
    <w:p>
      <w:pPr>
        <w:numPr>
          <w:ilvl w:val="0"/>
          <w:numId w:val="1001"/>
        </w:numPr>
        <w:pStyle w:val="Compact"/>
      </w:pPr>
      <w:r>
        <w:t xml:space="preserve">The Carpenter warrants that all work performed under this Purchase Order shall be executed in a workmanlike manner, in full compliance with German building regulations, Hessian state construction law, and all applicable DIN and EN standards for woodwork and joinery.</w:t>
      </w:r>
    </w:p>
    <w:p>
      <w:pPr>
        <w:numPr>
          <w:ilvl w:val="0"/>
          <w:numId w:val="1001"/>
        </w:numPr>
        <w:pStyle w:val="Compact"/>
      </w:pPr>
      <w:r>
        <w:t xml:space="preserve">The Carpenter shall maintain valid professional liability insurance (Berufshaftpflichtversicherung) with a minimum coverage of EUR 2,000,000 for the duration of the project in Germany Frankfurt. Proof of insurance shall be provided prior to commencement of work.</w:t>
      </w:r>
    </w:p>
    <w:p>
      <w:pPr>
        <w:numPr>
          <w:ilvl w:val="0"/>
          <w:numId w:val="1001"/>
        </w:numPr>
        <w:pStyle w:val="Compact"/>
      </w:pPr>
      <w:r>
        <w:t xml:space="preserve">All timber and wood products used in this Purchase Order shall be sourced from FSC-certified or PEFC-certified forests. The Carpenter shall provide chain-of-custody documentation for all materials upon request.</w:t>
      </w:r>
    </w:p>
    <w:p>
      <w:pPr>
        <w:numPr>
          <w:ilvl w:val="0"/>
          <w:numId w:val="1001"/>
        </w:numPr>
        <w:pStyle w:val="Compact"/>
      </w:pPr>
      <w:r>
        <w:t xml:space="preserve">The Carpenter shall adhere to all occupational health and safety regulations (Arbeitsschutzgesetz) applicable in Germany. The Carpenter is solely responsible for the safety of its employees and subcontractors on the Germany Frankfurt site.</w:t>
      </w:r>
    </w:p>
    <w:p>
      <w:pPr>
        <w:numPr>
          <w:ilvl w:val="0"/>
          <w:numId w:val="1001"/>
        </w:numPr>
        <w:pStyle w:val="Compact"/>
      </w:pPr>
      <w:r>
        <w:t xml:space="preserve">Any changes to the scope of work under this Purchase Order must be documented in a written change order signed by both parties before additional work is performed. No verbal modifications to this Purchase Order shall be binding.</w:t>
      </w:r>
    </w:p>
    <w:p>
      <w:pPr>
        <w:numPr>
          <w:ilvl w:val="0"/>
          <w:numId w:val="1001"/>
        </w:numPr>
        <w:pStyle w:val="Compact"/>
      </w:pPr>
      <w:r>
        <w:t xml:space="preserve">The Carpenter grants the Buyer a five-year warranty on all structural carpentry work and a two-year warranty on all finishing and decorative woodwork, commencing from the date of final acceptance.</w:t>
      </w:r>
    </w:p>
    <w:p>
      <w:pPr>
        <w:numPr>
          <w:ilvl w:val="0"/>
          <w:numId w:val="1001"/>
        </w:numPr>
        <w:pStyle w:val="Compact"/>
      </w:pPr>
      <w:r>
        <w:t xml:space="preserve">Force majeure events, including but not limited to natural disasters, government-mandated work stoppages in Germany Frankfurt, or supply chain disruptions beyond the Carpenter's reasonable control, shall extend the project timeline proportionally without penalty to either party.</w:t>
      </w:r>
    </w:p>
    <w:p>
      <w:pPr>
        <w:numPr>
          <w:ilvl w:val="0"/>
          <w:numId w:val="1001"/>
        </w:numPr>
        <w:pStyle w:val="Compact"/>
      </w:pPr>
      <w:r>
        <w:t xml:space="preserve">The Carpenter shall not subcontract any portion of the work specified in this Purchase Order without prior written consent from the Buyer. Any approved subcontractor shall be bound by the same terms and conditions as the primary Carpenter.</w:t>
      </w:r>
    </w:p>
    <w:p>
      <w:pPr>
        <w:numPr>
          <w:ilvl w:val="0"/>
          <w:numId w:val="1001"/>
        </w:numPr>
        <w:pStyle w:val="Compact"/>
      </w:pPr>
      <w:r>
        <w:t xml:space="preserve">This Purchase Order becomes effective upon signature by both parties and remains valid until all obligations have been fulfilled, all payments have been settled, and the warranty period has expired.</w:t>
      </w:r>
    </w:p>
    <w:bookmarkEnd w:id="26"/>
    <w:bookmarkStart w:id="27" w:name="acceptance-signatures"/>
    <w:p>
      <w:pPr>
        <w:pStyle w:val="Heading2"/>
      </w:pPr>
      <w:r>
        <w:t xml:space="preserve">7. Acceptance &amp; Signatures</w:t>
      </w:r>
    </w:p>
    <w:p>
      <w:pPr>
        <w:pStyle w:val="FirstParagraph"/>
      </w:pPr>
      <w:r>
        <w:t xml:space="preserve">By signing below, both parties acknowledge and agree to all terms, conditions, specifications, and pricing outlined in this Purchase Order for Carpenter services to be performed in Germany Frankfurt. This document constitutes a binding commercial agreement between the Buyer and the Seller.</w:t>
      </w:r>
    </w:p>
    <w:bookmarkEnd w:id="27"/>
    <w:p>
      <w:pPr>
        <w:pStyle w:val="BodyText"/>
      </w:pPr>
      <w:r>
        <w:rPr>
          <w:bCs/>
          <w:b/>
        </w:rPr>
        <w:t xml:space="preserve">For the Buyer:</w:t>
      </w:r>
      <w:r>
        <w:br/>
      </w:r>
      <w:r>
        <w:t xml:space="preserve">Frankfurt Commercial Properties GmbH</w:t>
      </w:r>
    </w:p>
    <w:p>
      <w:pPr>
        <w:pStyle w:val="BodyText"/>
      </w:pPr>
      <w:r>
        <w:t xml:space="preserve">Dr. Heinrich Vogel</w:t>
      </w:r>
      <w:r>
        <w:br/>
      </w:r>
      <w:r>
        <w:t xml:space="preserve">Procurement Director</w:t>
      </w:r>
      <w:r>
        <w:br/>
      </w:r>
      <w:r>
        <w:t xml:space="preserve">Date: _______________</w:t>
      </w:r>
    </w:p>
    <w:p>
      <w:pPr>
        <w:pStyle w:val="BodyText"/>
      </w:pPr>
      <w:r>
        <w:rPr>
          <w:bCs/>
          <w:b/>
        </w:rPr>
        <w:t xml:space="preserve">For the Seller (Carpenter):</w:t>
      </w:r>
      <w:r>
        <w:br/>
      </w:r>
      <w:r>
        <w:t xml:space="preserve">Meisterwerk Holzbau &amp; Carpenter Services UG</w:t>
      </w:r>
    </w:p>
    <w:p>
      <w:pPr>
        <w:pStyle w:val="BodyText"/>
      </w:pPr>
      <w:r>
        <w:t xml:space="preserve">Klaus Brenner, Meister</w:t>
      </w:r>
      <w:r>
        <w:br/>
      </w:r>
      <w:r>
        <w:t xml:space="preserve">Master Carpenter</w:t>
      </w:r>
      <w:r>
        <w:br/>
      </w:r>
      <w:r>
        <w:t xml:space="preserve">Date: _______________</w:t>
      </w:r>
    </w:p>
    <w:p>
      <w:pPr>
        <w:pStyle w:val="BodyText"/>
      </w:pPr>
      <w:r>
        <w:t xml:space="preserve">Purchase Order PO-2025-FRA-04872 — Carpenter Services — Germany Frankfurt</w:t>
      </w:r>
      <w:r>
        <w:br/>
      </w:r>
      <w:r>
        <w:t xml:space="preserve">This document is the property of Frankfurt Commercial Properties GmbH. Unauthorized reproduction or distribution is prohibited.</w:t>
      </w:r>
      <w:r>
        <w:br/>
      </w:r>
      <w:r>
        <w:t xml:space="preserve">Generated on 14 June 2025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Carpenter Services - Germany Frankfurt</dc:title>
  <dc:creator/>
  <dc:language>en</dc:language>
  <cp:keywords/>
  <dcterms:created xsi:type="dcterms:W3CDTF">2026-10-10T06:24:56Z</dcterms:created>
  <dcterms:modified xsi:type="dcterms:W3CDTF">2026-10-10T06:24:56Z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