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urchase-order"/>
    <w:p>
      <w:pPr>
        <w:pStyle w:val="Heading1"/>
      </w:pPr>
      <w:r>
        <w:t xml:space="preserve">PURCHASE ORDER</w:t>
      </w:r>
    </w:p>
    <w:p>
      <w:pPr>
        <w:pStyle w:val="FirstParagraph"/>
      </w:pPr>
      <w:r>
        <w:t xml:space="preserve">PT. Nusantara Interior Solutions</w:t>
      </w:r>
    </w:p>
    <w:p>
      <w:pPr>
        <w:pStyle w:val="BodyText"/>
      </w:pPr>
      <w:r>
        <w:t xml:space="preserve">Jl. Jend. Sudirman Kav. 52-53, SCBD District, Indonesia Jakarta 12190</w:t>
      </w:r>
    </w:p>
    <w:p>
      <w:pPr>
        <w:pStyle w:val="BodyText"/>
      </w:pPr>
      <w:r>
        <w:t xml:space="preserve">Tel: +62-21-5790-1234 | Email: procurement@nusantara-interior.co.id</w:t>
      </w:r>
    </w:p>
    <w:p>
      <w:pPr>
        <w:pStyle w:val="BodyText"/>
      </w:pPr>
      <w:r>
        <w:t xml:space="preserve">NPWP: 01.234.567.8-012.000</w:t>
      </w:r>
    </w:p>
    <w:bookmarkEnd w:id="20"/>
    <w:p>
      <w:pPr>
        <w:pStyle w:val="BodyText"/>
      </w:pPr>
      <w:r>
        <w:rPr>
          <w:bCs/>
          <w:b/>
        </w:rPr>
        <w:t xml:space="preserve">Purchase Order No.:</w:t>
      </w:r>
      <w:r>
        <w:t xml:space="preserve"> </w:t>
      </w:r>
      <w:r>
        <w:t xml:space="preserve">PO-2025-JKT-0487</w:t>
      </w:r>
      <w:r>
        <w:br/>
      </w:r>
      <w:r>
        <w:rPr>
          <w:bCs/>
          <w:b/>
        </w:rPr>
        <w:t xml:space="preserve">Date of Issue:</w:t>
      </w:r>
      <w:r>
        <w:t xml:space="preserve"> </w:t>
      </w:r>
      <w:r>
        <w:t xml:space="preserve">15 June 2025</w:t>
      </w:r>
      <w:r>
        <w:br/>
      </w:r>
      <w:r>
        <w:rPr>
          <w:bCs/>
          <w:b/>
        </w:rPr>
        <w:t xml:space="preserve">Valid Until:</w:t>
      </w:r>
      <w:r>
        <w:t xml:space="preserve"> </w:t>
      </w:r>
      <w:r>
        <w:t xml:space="preserve">30 June 2025</w:t>
      </w:r>
    </w:p>
    <w:p>
      <w:pPr>
        <w:pStyle w:val="BodyText"/>
      </w:pPr>
      <w:r>
        <w:rPr>
          <w:bCs/>
          <w:b/>
        </w:rPr>
        <w:t xml:space="preserve">Project Reference:</w:t>
      </w:r>
      <w:r>
        <w:t xml:space="preserve"> </w:t>
      </w:r>
      <w:r>
        <w:t xml:space="preserve">NIS-JKT-2025-019</w:t>
      </w:r>
      <w:r>
        <w:br/>
      </w:r>
      <w:r>
        <w:rPr>
          <w:bCs/>
          <w:b/>
        </w:rPr>
        <w:t xml:space="preserve">Service Location:</w:t>
      </w:r>
      <w:r>
        <w:t xml:space="preserve"> </w:t>
      </w:r>
      <w:r>
        <w:t xml:space="preserve">Indonesia Jakarta</w:t>
      </w:r>
      <w:r>
        <w:br/>
      </w:r>
      <w:r>
        <w:rPr>
          <w:bCs/>
          <w:b/>
        </w:rPr>
        <w:t xml:space="preserve">Priority:</w:t>
      </w:r>
      <w:r>
        <w:t xml:space="preserve"> </w:t>
      </w:r>
      <w:r>
        <w:t xml:space="preserve">Standard</w:t>
      </w:r>
    </w:p>
    <w:p>
      <w:pPr>
        <w:pStyle w:val="BodyText"/>
      </w:pPr>
      <w:r>
        <w:t xml:space="preserve">Supplier / Carpenter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Carpenter Name</w:t>
            </w:r>
          </w:p>
        </w:tc>
        <w:tc>
          <w:tcPr/>
          <w:p>
            <w:pPr>
              <w:pStyle w:val="Compact"/>
              <w:jc w:val="left"/>
            </w:pPr>
            <w:r>
              <w:t xml:space="preserve">Bapak Hendra Wijaya (Master Carpenter, 18 years experience)</w:t>
            </w:r>
          </w:p>
        </w:tc>
      </w:tr>
      <w:tr>
        <w:tc>
          <w:tcPr/>
          <w:p>
            <w:pPr>
              <w:pStyle w:val="Compact"/>
              <w:jc w:val="left"/>
            </w:pPr>
            <w:r>
              <w:rPr>
                <w:bCs/>
                <w:b/>
              </w:rPr>
              <w:t xml:space="preserve">Business Name</w:t>
            </w:r>
          </w:p>
        </w:tc>
        <w:tc>
          <w:tcPr/>
          <w:p>
            <w:pPr>
              <w:pStyle w:val="Compact"/>
              <w:jc w:val="left"/>
            </w:pPr>
            <w:r>
              <w:t xml:space="preserve">CV. Wijaya Woodcraft &amp; Carpentry Services</w:t>
            </w:r>
          </w:p>
        </w:tc>
      </w:tr>
      <w:tr>
        <w:tc>
          <w:tcPr/>
          <w:p>
            <w:pPr>
              <w:pStyle w:val="Compact"/>
              <w:jc w:val="left"/>
            </w:pPr>
            <w:r>
              <w:rPr>
                <w:bCs/>
                <w:b/>
              </w:rPr>
              <w:t xml:space="preserve">Address</w:t>
            </w:r>
          </w:p>
        </w:tc>
        <w:tc>
          <w:tcPr/>
          <w:p>
            <w:pPr>
              <w:pStyle w:val="Compact"/>
              <w:jc w:val="left"/>
            </w:pPr>
            <w:r>
              <w:t xml:space="preserve">Jl. Raya Cempaka Putih No. 45, Cempaka Putih, Indonesia Jakarta 10510</w:t>
            </w:r>
          </w:p>
        </w:tc>
      </w:tr>
      <w:tr>
        <w:tc>
          <w:tcPr/>
          <w:p>
            <w:pPr>
              <w:pStyle w:val="Compact"/>
              <w:jc w:val="left"/>
            </w:pPr>
            <w:r>
              <w:rPr>
                <w:bCs/>
                <w:b/>
              </w:rPr>
              <w:t xml:space="preserve">Contact</w:t>
            </w:r>
          </w:p>
        </w:tc>
        <w:tc>
          <w:tcPr/>
          <w:p>
            <w:pPr>
              <w:pStyle w:val="Compact"/>
              <w:jc w:val="left"/>
            </w:pPr>
            <w:r>
              <w:t xml:space="preserve">Tel: +62-812-3456-7890 | Email: hendra.wijaya@wijayawoodcraft.co.id</w:t>
            </w:r>
          </w:p>
        </w:tc>
      </w:tr>
      <w:tr>
        <w:tc>
          <w:tcPr/>
          <w:p>
            <w:pPr>
              <w:pStyle w:val="Compact"/>
              <w:jc w:val="left"/>
            </w:pPr>
            <w:r>
              <w:rPr>
                <w:bCs/>
                <w:b/>
              </w:rPr>
              <w:t xml:space="preserve">NPWP</w:t>
            </w:r>
          </w:p>
        </w:tc>
        <w:tc>
          <w:tcPr/>
          <w:p>
            <w:pPr>
              <w:pStyle w:val="Compact"/>
              <w:jc w:val="left"/>
            </w:pPr>
            <w:r>
              <w:t xml:space="preserve">09.876.543.2-012.000</w:t>
            </w:r>
          </w:p>
        </w:tc>
      </w:tr>
      <w:tr>
        <w:tc>
          <w:tcPr/>
          <w:p>
            <w:pPr>
              <w:pStyle w:val="Compact"/>
              <w:jc w:val="left"/>
            </w:pPr>
            <w:r>
              <w:rPr>
                <w:bCs/>
                <w:b/>
              </w:rPr>
              <w:t xml:space="preserve">Bank Account</w:t>
            </w:r>
          </w:p>
        </w:tc>
        <w:tc>
          <w:tcPr/>
          <w:p>
            <w:pPr>
              <w:pStyle w:val="Compact"/>
              <w:jc w:val="left"/>
            </w:pPr>
            <w:r>
              <w:t xml:space="preserve">Bank Mandiri, A/C No. 137-00-2345678-9, a.n. CV. Wijaya Woodcraft</w:t>
            </w:r>
          </w:p>
        </w:tc>
      </w:tr>
      <w:tr>
        <w:tc>
          <w:tcPr/>
          <w:p>
            <w:pPr>
              <w:pStyle w:val="Compact"/>
              <w:jc w:val="left"/>
            </w:pPr>
            <w:r>
              <w:rPr>
                <w:bCs/>
                <w:b/>
              </w:rPr>
              <w:t xml:space="preserve">Trade License</w:t>
            </w:r>
          </w:p>
        </w:tc>
        <w:tc>
          <w:tcPr/>
          <w:p>
            <w:pPr>
              <w:pStyle w:val="Compact"/>
              <w:jc w:val="left"/>
            </w:pPr>
            <w:r>
              <w:t xml:space="preserve">Izin Usaha Jasa Kayu No. 110/2024, issued by Dinas Koperasi dan UKM, Indonesia Jakarta</w:t>
            </w:r>
          </w:p>
        </w:tc>
      </w:tr>
    </w:tbl>
    <w:p>
      <w:pPr>
        <w:pStyle w:val="BodyText"/>
      </w:pPr>
      <w:r>
        <w:t xml:space="preserve">Scope of Work – Carpenter Services</w:t>
      </w:r>
    </w:p>
    <w:p>
      <w:pPr>
        <w:pStyle w:val="BodyText"/>
      </w:pPr>
      <w:r>
        <w:t xml:space="preserve">This Purchase Order is issued by PT. Nusantara Interior Solutions to engage the above-named Carpenter for the design, fabrication, and installation of custom wooden furniture and structural carpentry elements for the corporate office renovation project located at Menara Sudirman, Floor 12, Indonesia Jakarta. The Carpenter shall provide all labor, tools, and specified materials as detailed in the line items below. All work must comply with the building codes and safety regulations applicable in Indonesia Jakarta, including those enforced by the local Dinas Perindustrian dan Perdagangan.</w:t>
      </w:r>
    </w:p>
    <w:p>
      <w:pPr>
        <w:pStyle w:val="BodyText"/>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Carpenter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Total (IDR)</w:t>
            </w:r>
          </w:p>
        </w:tc>
      </w:tr>
      <w:tr>
        <w:tc>
          <w:tcPr/>
          <w:p>
            <w:pPr>
              <w:pStyle w:val="Compact"/>
              <w:jc w:val="left"/>
            </w:pPr>
            <w:r>
              <w:t xml:space="preserve">1</w:t>
            </w:r>
          </w:p>
        </w:tc>
        <w:tc>
          <w:tcPr/>
          <w:p>
            <w:pPr>
              <w:pStyle w:val="Compact"/>
              <w:jc w:val="left"/>
            </w:pPr>
            <w:r>
              <w:t xml:space="preserve">Custom mahogany executive desk (180cm x 90cm) – design, fabrication, and on-site installation</w:t>
            </w:r>
          </w:p>
        </w:tc>
        <w:tc>
          <w:tcPr/>
          <w:p>
            <w:pPr>
              <w:pStyle w:val="Compact"/>
              <w:jc w:val="left"/>
            </w:pPr>
            <w:r>
              <w:t xml:space="preserve">4</w:t>
            </w:r>
          </w:p>
        </w:tc>
        <w:tc>
          <w:tcPr/>
          <w:p>
            <w:pPr>
              <w:pStyle w:val="Compact"/>
              <w:jc w:val="left"/>
            </w:pPr>
            <w:r>
              <w:t xml:space="preserve">Unit</w:t>
            </w:r>
          </w:p>
        </w:tc>
        <w:tc>
          <w:tcPr/>
          <w:p>
            <w:pPr>
              <w:pStyle w:val="Compact"/>
              <w:jc w:val="left"/>
            </w:pPr>
            <w:r>
              <w:t xml:space="preserve">8,500,000</w:t>
            </w:r>
          </w:p>
        </w:tc>
        <w:tc>
          <w:tcPr/>
          <w:p>
            <w:pPr>
              <w:pStyle w:val="Compact"/>
              <w:jc w:val="left"/>
            </w:pPr>
            <w:r>
              <w:t xml:space="preserve">34,000,000</w:t>
            </w:r>
          </w:p>
        </w:tc>
      </w:tr>
      <w:tr>
        <w:tc>
          <w:tcPr/>
          <w:p>
            <w:pPr>
              <w:pStyle w:val="Compact"/>
              <w:jc w:val="left"/>
            </w:pPr>
            <w:r>
              <w:t xml:space="preserve">2</w:t>
            </w:r>
          </w:p>
        </w:tc>
        <w:tc>
          <w:tcPr/>
          <w:p>
            <w:pPr>
              <w:pStyle w:val="Compact"/>
              <w:jc w:val="left"/>
            </w:pPr>
            <w:r>
              <w:t xml:space="preserve">Teak wood conference table (300cm x 120cm) with integrated cable management</w:t>
            </w:r>
          </w:p>
        </w:tc>
        <w:tc>
          <w:tcPr/>
          <w:p>
            <w:pPr>
              <w:pStyle w:val="Compact"/>
              <w:jc w:val="left"/>
            </w:pPr>
            <w:r>
              <w:t xml:space="preserve">2</w:t>
            </w:r>
          </w:p>
        </w:tc>
        <w:tc>
          <w:tcPr/>
          <w:p>
            <w:pPr>
              <w:pStyle w:val="Compact"/>
              <w:jc w:val="left"/>
            </w:pPr>
            <w:r>
              <w:t xml:space="preserve">Unit</w:t>
            </w:r>
          </w:p>
        </w:tc>
        <w:tc>
          <w:tcPr/>
          <w:p>
            <w:pPr>
              <w:pStyle w:val="Compact"/>
              <w:jc w:val="left"/>
            </w:pPr>
            <w:r>
              <w:t xml:space="preserve">12,750,000</w:t>
            </w:r>
          </w:p>
        </w:tc>
        <w:tc>
          <w:tcPr/>
          <w:p>
            <w:pPr>
              <w:pStyle w:val="Compact"/>
              <w:jc w:val="left"/>
            </w:pPr>
            <w:r>
              <w:t xml:space="preserve">25,500,000</w:t>
            </w:r>
          </w:p>
        </w:tc>
      </w:tr>
      <w:tr>
        <w:tc>
          <w:tcPr/>
          <w:p>
            <w:pPr>
              <w:pStyle w:val="Compact"/>
              <w:jc w:val="left"/>
            </w:pPr>
            <w:r>
              <w:t xml:space="preserve">3</w:t>
            </w:r>
          </w:p>
        </w:tc>
        <w:tc>
          <w:tcPr/>
          <w:p>
            <w:pPr>
              <w:pStyle w:val="Compact"/>
              <w:jc w:val="left"/>
            </w:pPr>
            <w:r>
              <w:t xml:space="preserve">Custom built-in bookshelf and storage wall (6m x 2.8m) in jati hardwood</w:t>
            </w:r>
          </w:p>
        </w:tc>
        <w:tc>
          <w:tcPr/>
          <w:p>
            <w:pPr>
              <w:pStyle w:val="Compact"/>
              <w:jc w:val="left"/>
            </w:pPr>
            <w:r>
              <w:t xml:space="preserve">1</w:t>
            </w:r>
          </w:p>
        </w:tc>
        <w:tc>
          <w:tcPr/>
          <w:p>
            <w:pPr>
              <w:pStyle w:val="Compact"/>
              <w:jc w:val="left"/>
            </w:pPr>
            <w:r>
              <w:t xml:space="preserve">Set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4</w:t>
            </w:r>
          </w:p>
        </w:tc>
        <w:tc>
          <w:tcPr/>
          <w:p>
            <w:pPr>
              <w:pStyle w:val="Compact"/>
              <w:jc w:val="left"/>
            </w:pPr>
            <w:r>
              <w:t xml:space="preserve">Wooden partition panels (oak veneer, 2.4m height) for meeting rooms</w:t>
            </w:r>
          </w:p>
        </w:tc>
        <w:tc>
          <w:tcPr/>
          <w:p>
            <w:pPr>
              <w:pStyle w:val="Compact"/>
              <w:jc w:val="left"/>
            </w:pPr>
            <w:r>
              <w:t xml:space="preserve">12</w:t>
            </w:r>
          </w:p>
        </w:tc>
        <w:tc>
          <w:tcPr/>
          <w:p>
            <w:pPr>
              <w:pStyle w:val="Compact"/>
              <w:jc w:val="left"/>
            </w:pPr>
            <w:r>
              <w:t xml:space="preserve">Panel</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5</w:t>
            </w:r>
          </w:p>
        </w:tc>
        <w:tc>
          <w:tcPr/>
          <w:p>
            <w:pPr>
              <w:pStyle w:val="Compact"/>
              <w:jc w:val="left"/>
            </w:pPr>
            <w:r>
              <w:t xml:space="preserve">Reception desk (220cm x 80cm) in solid walnut with LED underlighting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6</w:t>
            </w:r>
          </w:p>
        </w:tc>
        <w:tc>
          <w:tcPr/>
          <w:p>
            <w:pPr>
              <w:pStyle w:val="Compact"/>
              <w:jc w:val="left"/>
            </w:pPr>
            <w:r>
              <w:t xml:space="preserve">Structural carpentry – ceiling beam reinforcement and trim work (Indonesia Jakarta site)</w:t>
            </w:r>
          </w:p>
        </w:tc>
        <w:tc>
          <w:tcPr/>
          <w:p>
            <w:pPr>
              <w:pStyle w:val="Compact"/>
              <w:jc w:val="left"/>
            </w:pPr>
            <w:r>
              <w:t xml:space="preserve">1</w:t>
            </w:r>
          </w:p>
        </w:tc>
        <w:tc>
          <w:tcPr/>
          <w:p>
            <w:pPr>
              <w:pStyle w:val="Compact"/>
              <w:jc w:val="left"/>
            </w:pPr>
            <w:r>
              <w:t xml:space="preserve">Lot</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7</w:t>
            </w:r>
          </w:p>
        </w:tc>
        <w:tc>
          <w:tcPr/>
          <w:p>
            <w:pPr>
              <w:pStyle w:val="Compact"/>
              <w:jc w:val="left"/>
            </w:pPr>
            <w:r>
              <w:t xml:space="preserve">On-site supervision, quality inspection, and finishing (staining, varnishing, sanding)</w:t>
            </w:r>
          </w:p>
        </w:tc>
        <w:tc>
          <w:tcPr/>
          <w:p>
            <w:pPr>
              <w:pStyle w:val="Compact"/>
              <w:jc w:val="left"/>
            </w:pPr>
            <w:r>
              <w:t xml:space="preserve">15</w:t>
            </w:r>
          </w:p>
        </w:tc>
        <w:tc>
          <w:tcPr/>
          <w:p>
            <w:pPr>
              <w:pStyle w:val="Compact"/>
              <w:jc w:val="left"/>
            </w:pPr>
            <w:r>
              <w:t xml:space="preserve">Day</w:t>
            </w:r>
          </w:p>
        </w:tc>
        <w:tc>
          <w:tcPr/>
          <w:p>
            <w:pPr>
              <w:pStyle w:val="Compact"/>
              <w:jc w:val="left"/>
            </w:pPr>
            <w:r>
              <w:t xml:space="preserve">1,500,000</w:t>
            </w:r>
          </w:p>
        </w:tc>
        <w:tc>
          <w:tcPr/>
          <w:p>
            <w:pPr>
              <w:pStyle w:val="Compact"/>
              <w:jc w:val="left"/>
            </w:pPr>
            <w:r>
              <w:t xml:space="preserve">22,500,000</w:t>
            </w:r>
          </w:p>
        </w:tc>
      </w:tr>
      <w:tr>
        <w:tc>
          <w:tcPr/>
          <w:p>
            <w:pPr>
              <w:pStyle w:val="Compact"/>
              <w:jc w:val="left"/>
            </w:pPr>
            <w:r>
              <w:t xml:space="preserve">8</w:t>
            </w:r>
          </w:p>
        </w:tc>
        <w:tc>
          <w:tcPr/>
          <w:p>
            <w:pPr>
              <w:pStyle w:val="Compact"/>
              <w:jc w:val="left"/>
            </w:pPr>
            <w:r>
              <w:t xml:space="preserve">Waste removal, site cleanup, and final handover documentation</w:t>
            </w:r>
          </w:p>
        </w:tc>
        <w:tc>
          <w:tcPr/>
          <w:p>
            <w:pPr>
              <w:pStyle w:val="Compact"/>
              <w:jc w:val="left"/>
            </w:pPr>
            <w:r>
              <w:t xml:space="preserve">1</w:t>
            </w:r>
          </w:p>
        </w:tc>
        <w:tc>
          <w:tcPr/>
          <w:p>
            <w:pPr>
              <w:pStyle w:val="Compact"/>
              <w:jc w:val="left"/>
            </w:pPr>
            <w:r>
              <w:t xml:space="preserve">Lot</w:t>
            </w:r>
          </w:p>
        </w:tc>
        <w:tc>
          <w:tcPr/>
          <w:p>
            <w:pPr>
              <w:pStyle w:val="Compact"/>
              <w:jc w:val="left"/>
            </w:pPr>
            <w:r>
              <w:t xml:space="preserve">5,000,000</w:t>
            </w:r>
          </w:p>
        </w:tc>
        <w:tc>
          <w:tcPr/>
          <w:p>
            <w:pPr>
              <w:pStyle w:val="Compact"/>
              <w:jc w:val="left"/>
            </w:pPr>
            <w:r>
              <w:t xml:space="preserve">5,000,000</w:t>
            </w:r>
          </w:p>
        </w:tc>
      </w:tr>
      <w:tr>
        <w:tc>
          <w:tcPr>
            <w:gridSpan w:val="5"/>
          </w:tcPr>
          <w:p>
            <w:pPr>
              <w:pStyle w:val="Compact"/>
              <w:jc w:val="right"/>
            </w:pPr>
            <w:r>
              <w:t xml:space="preserve">Subtotal</w:t>
            </w:r>
          </w:p>
        </w:tc>
        <w:tc>
          <w:tcPr/>
          <w:p>
            <w:pPr>
              <w:pStyle w:val="Compact"/>
              <w:jc w:val="left"/>
            </w:pPr>
            <w:r>
              <w:t xml:space="preserve">210,900,000</w:t>
            </w:r>
          </w:p>
        </w:tc>
      </w:tr>
      <w:tr>
        <w:tc>
          <w:tcPr>
            <w:gridSpan w:val="5"/>
          </w:tcPr>
          <w:p>
            <w:pPr>
              <w:pStyle w:val="Compact"/>
              <w:jc w:val="right"/>
            </w:pPr>
            <w:r>
              <w:t xml:space="preserve">PPN (VAT) 11%</w:t>
            </w:r>
          </w:p>
        </w:tc>
        <w:tc>
          <w:tcPr/>
          <w:p>
            <w:pPr>
              <w:pStyle w:val="Compact"/>
              <w:jc w:val="left"/>
            </w:pPr>
            <w:r>
              <w:t xml:space="preserve">23,199,000</w:t>
            </w:r>
          </w:p>
        </w:tc>
      </w:tr>
      <w:tr>
        <w:tc>
          <w:tcPr>
            <w:gridSpan w:val="5"/>
          </w:tcPr>
          <w:p>
            <w:pPr>
              <w:pStyle w:val="Compact"/>
              <w:jc w:val="right"/>
            </w:pPr>
            <w:r>
              <w:t xml:space="preserve">Grand Total (IDR)</w:t>
            </w:r>
          </w:p>
        </w:tc>
        <w:tc>
          <w:tcPr/>
          <w:p>
            <w:pPr>
              <w:pStyle w:val="Compact"/>
              <w:jc w:val="left"/>
            </w:pPr>
            <w:r>
              <w:t xml:space="preserve">234,099,000</w:t>
            </w:r>
          </w:p>
        </w:tc>
      </w:tr>
    </w:tbl>
    <w:p>
      <w:pPr>
        <w:pStyle w:val="BodyText"/>
      </w:pPr>
      <w:r>
        <w:t xml:space="preserve">Terms and Conditions</w:t>
      </w:r>
    </w:p>
    <w:p>
      <w:pPr>
        <w:numPr>
          <w:ilvl w:val="0"/>
          <w:numId w:val="1001"/>
        </w:numPr>
        <w:pStyle w:val="Compact"/>
      </w:pPr>
      <w:r>
        <w:t xml:space="preserve">This Purchase Order is binding upon written acceptance by the Carpenter (CV. Wijaya Woodcraft &amp; Carpentry Services) and signature by the authorized representative of PT. Nusantara Interior Solutions.</w:t>
      </w:r>
    </w:p>
    <w:p>
      <w:pPr>
        <w:numPr>
          <w:ilvl w:val="0"/>
          <w:numId w:val="1001"/>
        </w:numPr>
        <w:pStyle w:val="Compact"/>
      </w:pPr>
      <w:r>
        <w:t xml:space="preserve">All carpentry work shall be performed at the project site located in Indonesia Jakarta, specifically at Menara Sudirman, Floor 12. The Carpenter is responsible for transporting all materials and equipment to the Indonesia Jakarta site at no additional cost.</w:t>
      </w:r>
    </w:p>
    <w:p>
      <w:pPr>
        <w:numPr>
          <w:ilvl w:val="0"/>
          <w:numId w:val="1001"/>
        </w:numPr>
        <w:pStyle w:val="Compact"/>
      </w:pPr>
      <w:r>
        <w:t xml:space="preserve">The Carpenter shall commence work no later than 22 June 2025 and shall complete all deliverables by 15 August 2025. Any delay beyond the agreed timeline shall incur a penalty of 0.5% of the total Purchase Order value per calendar day of delay.</w:t>
      </w:r>
    </w:p>
    <w:p>
      <w:pPr>
        <w:numPr>
          <w:ilvl w:val="0"/>
          <w:numId w:val="1001"/>
        </w:numPr>
        <w:pStyle w:val="Compact"/>
      </w:pPr>
      <w:r>
        <w:t xml:space="preserve">Payment terms: 30% advance payment upon Purchase Order acceptance, 40% upon completion of fabrication and delivery to the Indonesia Jakarta site, and 30% upon final inspection, acceptance, and handover. All payments shall be made via bank transfer to the account specified above.</w:t>
      </w:r>
    </w:p>
    <w:p>
      <w:pPr>
        <w:numPr>
          <w:ilvl w:val="0"/>
          <w:numId w:val="1001"/>
        </w:numPr>
        <w:pStyle w:val="Compact"/>
      </w:pPr>
      <w:r>
        <w:t xml:space="preserve">The Carpenter warrants that all wood materials used are legally sourced, free from pests, and compliant with Indonesian forestry regulations (Permen LHK). Certificates of legality shall be provided upon request.</w:t>
      </w:r>
    </w:p>
    <w:p>
      <w:pPr>
        <w:numPr>
          <w:ilvl w:val="0"/>
          <w:numId w:val="1001"/>
        </w:numPr>
        <w:pStyle w:val="Compact"/>
      </w:pPr>
      <w:r>
        <w:t xml:space="preserve">All work must adhere to the Indonesian National Standard (SNI) for wood products and carpentry. The Carpenter shall maintain valid work permits and insurance coverage for all personnel operating in Indonesia Jakarta.</w:t>
      </w:r>
    </w:p>
    <w:p>
      <w:pPr>
        <w:numPr>
          <w:ilvl w:val="0"/>
          <w:numId w:val="1001"/>
        </w:numPr>
        <w:pStyle w:val="Compact"/>
      </w:pPr>
      <w:r>
        <w:t xml:space="preserve">The Carpenter shall provide a minimum 12-month warranty on all fabricated items against defects in materials and workmanship. Warranty claims shall be addressed within 14 business days of written notice.</w:t>
      </w:r>
    </w:p>
    <w:p>
      <w:pPr>
        <w:numPr>
          <w:ilvl w:val="0"/>
          <w:numId w:val="1001"/>
        </w:numPr>
        <w:pStyle w:val="Compact"/>
      </w:pPr>
      <w:r>
        <w:t xml:space="preserve">This Purchase Order is governed by the laws of the Republic of Indonesia. Any disputes arising from this Purchase Order shall be resolved through arbitration in Indonesia Jakarta in accordance with the rules of the Badan Arbitrase Nasional Indonesia (BANI).</w:t>
      </w:r>
    </w:p>
    <w:p>
      <w:pPr>
        <w:numPr>
          <w:ilvl w:val="0"/>
          <w:numId w:val="1001"/>
        </w:numPr>
        <w:pStyle w:val="Compact"/>
      </w:pPr>
      <w:r>
        <w:t xml:space="preserve">The Carpenter shall comply with all health, safety, and environmental regulations applicable to construction and carpentry work in Indonesia Jakarta, including proper use of personal protective equipment and safe handling of wood dust and chemical finishes.</w:t>
      </w:r>
    </w:p>
    <w:p>
      <w:pPr>
        <w:numPr>
          <w:ilvl w:val="0"/>
          <w:numId w:val="1001"/>
        </w:numPr>
        <w:pStyle w:val="Compact"/>
      </w:pPr>
      <w:r>
        <w:t xml:space="preserve">Any modifications to the scope of work must be documented in a written amendment to this Purchase Order, signed by both parties, before additional work commences.</w:t>
      </w:r>
    </w:p>
    <w:p>
      <w:pPr>
        <w:pStyle w:val="FirstParagraph"/>
      </w:pPr>
      <w:r>
        <w:t xml:space="preserve">Authorized Signatures</w:t>
      </w:r>
    </w:p>
    <w:p>
      <w:pPr>
        <w:pStyle w:val="BodyText"/>
      </w:pPr>
      <w:r>
        <w:rPr>
          <w:bCs/>
          <w:b/>
        </w:rPr>
        <w:t xml:space="preserve">For and on behalf of:</w:t>
      </w:r>
      <w:r>
        <w:br/>
      </w:r>
      <w:r>
        <w:t xml:space="preserve">PT. Nusantara Interior Solutions</w:t>
      </w:r>
    </w:p>
    <w:p>
      <w:pPr>
        <w:pStyle w:val="BodyText"/>
      </w:pPr>
      <w:r>
        <w:t xml:space="preserve">Name: Ibu Sari Kartika Dewi</w:t>
      </w:r>
      <w:r>
        <w:br/>
      </w:r>
      <w:r>
        <w:t xml:space="preserve">Title: Head of Procurement</w:t>
      </w:r>
      <w:r>
        <w:br/>
      </w:r>
      <w:r>
        <w:t xml:space="preserve">Date: _______________</w:t>
      </w:r>
    </w:p>
    <w:p>
      <w:pPr>
        <w:pStyle w:val="BodyText"/>
      </w:pPr>
      <w:r>
        <w:rPr>
          <w:bCs/>
          <w:b/>
        </w:rPr>
        <w:t xml:space="preserve">Accepted by (Carpenter):</w:t>
      </w:r>
      <w:r>
        <w:br/>
      </w:r>
      <w:r>
        <w:t xml:space="preserve">CV. Wijaya Woodcraft &amp; Carpentry Services</w:t>
      </w:r>
    </w:p>
    <w:p>
      <w:pPr>
        <w:pStyle w:val="BodyText"/>
      </w:pPr>
      <w:r>
        <w:t xml:space="preserve">Name: Bapak Hendra Wijaya</w:t>
      </w:r>
      <w:r>
        <w:br/>
      </w:r>
      <w:r>
        <w:t xml:space="preserve">Title: Owner / Master Carpenter</w:t>
      </w:r>
      <w:r>
        <w:br/>
      </w:r>
      <w:r>
        <w:t xml:space="preserve">Date: _______________</w:t>
      </w:r>
    </w:p>
    <w:p>
      <w:pPr>
        <w:pStyle w:val="BodyText"/>
      </w:pPr>
      <w:r>
        <w:t xml:space="preserve">This Purchase Order (PO-2025-JKT-0487) is issued for Carpenter services to be executed in Indonesia Jakarta. This document constitutes a legally binding agreement between the parties upon full execution. All references to "Indonesia Jakarta" in this Purchase Order refer to the administrative city of Jakarta, the capital of the Republic of Indonesia. This Purchase Order is valid for a period of 15 (fifteen) calendar days from the date of issue. Unauthorized reproduction or distribution of this Purchase Order is strictly prohibited.</w:t>
      </w:r>
    </w:p>
    <w:p>
      <w:pPr>
        <w:pStyle w:val="BodyText"/>
      </w:pPr>
      <w:r>
        <w:t xml:space="preserve">Document generated by PT. Nusantara Interior Solutions – Procurement Department, Indonesia Jakarta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Indonesia Jakarta</dc:title>
  <dc:creator/>
  <dc:language>en</dc:language>
  <cp:keywords/>
  <dcterms:created xsi:type="dcterms:W3CDTF">2026-10-10T07:24:36Z</dcterms:created>
  <dcterms:modified xsi:type="dcterms:W3CDTF">2026-10-10T07:24:36Z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