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rPr>
          <w:bCs/>
          <w:b/>
        </w:rPr>
        <w:t xml:space="preserve">Alborz Construction &amp; Interiors Co., Ltd.</w:t>
      </w:r>
    </w:p>
    <w:p>
      <w:pPr>
        <w:pStyle w:val="BodyText"/>
      </w:pPr>
      <w:r>
        <w:t xml:space="preserve">Address: No. 47, Valiasr Street, Enghelab Square, Tehran, Iran</w:t>
      </w:r>
    </w:p>
    <w:p>
      <w:pPr>
        <w:pStyle w:val="BodyText"/>
      </w:pPr>
      <w:r>
        <w:t xml:space="preserve">Phone: +98-21-8876-5432 | Email: procurement@alborzinteriors.ir</w:t>
      </w:r>
    </w:p>
    <w:p>
      <w:pPr>
        <w:pStyle w:val="BodyText"/>
      </w:pPr>
      <w:r>
        <w:t xml:space="preserve">Registration No. (Shenase Melli): 1024587631</w:t>
      </w:r>
    </w:p>
    <w:bookmarkEnd w:id="20"/>
    <w:p>
      <w:pPr>
        <w:pStyle w:val="BodyText"/>
      </w:pPr>
      <w:r>
        <w:rPr>
          <w:bCs/>
          <w:b/>
        </w:rPr>
        <w:t xml:space="preserve">Purchase Order No.:</w:t>
      </w:r>
      <w:r>
        <w:t xml:space="preserve"> </w:t>
      </w:r>
      <w:r>
        <w:t xml:space="preserve">PO-2025-TEH-0487</w:t>
      </w:r>
      <w:r>
        <w:br/>
      </w:r>
      <w:r>
        <w:rPr>
          <w:bCs/>
          <w:b/>
        </w:rPr>
        <w:t xml:space="preserve">Date of Issue:</w:t>
      </w:r>
      <w:r>
        <w:t xml:space="preserve"> </w:t>
      </w:r>
      <w:r>
        <w:t xml:space="preserve">15 Farvardin 1404 (March 5, 2025)</w:t>
      </w:r>
      <w:r>
        <w:br/>
      </w:r>
      <w:r>
        <w:rPr>
          <w:bCs/>
          <w:b/>
        </w:rPr>
        <w:t xml:space="preserve">Valid Until:</w:t>
      </w:r>
      <w:r>
        <w:t xml:space="preserve"> </w:t>
      </w:r>
      <w:r>
        <w:t xml:space="preserve">30 Farvardin 1404 (March 20, 2025)</w:t>
      </w:r>
    </w:p>
    <w:p>
      <w:pPr>
        <w:pStyle w:val="BodyText"/>
      </w:pPr>
      <w:r>
        <w:rPr>
          <w:bCs/>
          <w:b/>
        </w:rPr>
        <w:t xml:space="preserve">Project Reference:</w:t>
      </w:r>
      <w:r>
        <w:t xml:space="preserve"> </w:t>
      </w:r>
      <w:r>
        <w:t xml:space="preserve">RES-TEH-2025-112</w:t>
      </w:r>
      <w:r>
        <w:br/>
      </w:r>
      <w:r>
        <w:rPr>
          <w:bCs/>
          <w:b/>
        </w:rPr>
        <w:t xml:space="preserve">Site Location:</w:t>
      </w:r>
      <w:r>
        <w:t xml:space="preserve"> </w:t>
      </w:r>
      <w:r>
        <w:t xml:space="preserve">District 22, Tehran, Iran</w:t>
      </w:r>
      <w:r>
        <w:br/>
      </w:r>
      <w:r>
        <w:rPr>
          <w:bCs/>
          <w:b/>
        </w:rPr>
        <w:t xml:space="preserve">Priority:</w:t>
      </w:r>
      <w:r>
        <w:t xml:space="preserve"> </w:t>
      </w:r>
      <w:r>
        <w:t xml:space="preserve">High</w:t>
      </w:r>
    </w:p>
    <w:bookmarkStart w:id="21" w:name="vendor-carpenter-information"/>
    <w:p>
      <w:pPr>
        <w:pStyle w:val="Heading2"/>
      </w:pPr>
      <w:r>
        <w:t xml:space="preserve">1. Vendor / Carpenter Information</w:t>
      </w:r>
    </w:p>
    <w:p>
      <w:pPr>
        <w:pStyle w:val="FirstParagraph"/>
      </w:pPr>
      <w:r>
        <w:rPr>
          <w:bCs/>
          <w:b/>
        </w:rPr>
        <w:t xml:space="preserve">Carpenter / Contractor Name:</w:t>
      </w:r>
      <w:r>
        <w:t xml:space="preserve"> </w:t>
      </w:r>
      <w:r>
        <w:t xml:space="preserve">Mr. Reza Karimi (Master Carpenter &amp; Woodwork Specialist)</w:t>
      </w:r>
      <w:r>
        <w:br/>
      </w:r>
      <w:r>
        <w:rPr>
          <w:bCs/>
          <w:b/>
        </w:rPr>
        <w:t xml:space="preserve">Business Name:</w:t>
      </w:r>
      <w:r>
        <w:t xml:space="preserve"> </w:t>
      </w:r>
      <w:r>
        <w:t xml:space="preserve">Karimi Woodcraft &amp; Carpentry Workshop</w:t>
      </w:r>
      <w:r>
        <w:br/>
      </w:r>
      <w:r>
        <w:rPr>
          <w:bCs/>
          <w:b/>
        </w:rPr>
        <w:t xml:space="preserve">Address:</w:t>
      </w:r>
      <w:r>
        <w:t xml:space="preserve"> </w:t>
      </w:r>
      <w:r>
        <w:t xml:space="preserve">No. 12, Bazaar-e Karim Khan, Vali-Asr Street, District 12, Tehran, Iran</w:t>
      </w:r>
      <w:r>
        <w:br/>
      </w:r>
      <w:r>
        <w:rPr>
          <w:bCs/>
          <w:b/>
        </w:rPr>
        <w:t xml:space="preserve">Phone:</w:t>
      </w:r>
      <w:r>
        <w:t xml:space="preserve"> </w:t>
      </w:r>
      <w:r>
        <w:t xml:space="preserve">+98-912-345-6789</w:t>
      </w:r>
      <w:r>
        <w:br/>
      </w:r>
      <w:r>
        <w:rPr>
          <w:bCs/>
          <w:b/>
        </w:rPr>
        <w:t xml:space="preserve">Email:</w:t>
      </w:r>
      <w:r>
        <w:t xml:space="preserve"> </w:t>
      </w:r>
      <w:r>
        <w:t xml:space="preserve">karimi.woodcraft@gmail.com</w:t>
      </w:r>
      <w:r>
        <w:br/>
      </w:r>
      <w:r>
        <w:rPr>
          <w:bCs/>
          <w:b/>
        </w:rPr>
        <w:t xml:space="preserve">Shenase Melli (National ID):</w:t>
      </w:r>
      <w:r>
        <w:t xml:space="preserve"> </w:t>
      </w:r>
      <w:r>
        <w:t xml:space="preserve">0045872196</w:t>
      </w:r>
      <w:r>
        <w:br/>
      </w:r>
      <w:r>
        <w:rPr>
          <w:bCs/>
          <w:b/>
        </w:rPr>
        <w:t xml:space="preserve">Specialization:</w:t>
      </w:r>
      <w:r>
        <w:t xml:space="preserve"> </w:t>
      </w:r>
      <w:r>
        <w:t xml:space="preserve">Custom cabinetry, hardwood flooring, structural wood framing, decorative wood paneling, and traditional Persian carpentry techniques</w:t>
      </w:r>
      <w:r>
        <w:br/>
      </w:r>
      <w:r>
        <w:rPr>
          <w:bCs/>
          <w:b/>
        </w:rPr>
        <w:t xml:space="preserve">Years of Experience:</w:t>
      </w:r>
      <w:r>
        <w:t xml:space="preserve"> </w:t>
      </w:r>
      <w:r>
        <w:t xml:space="preserve">22 years in residential and commercial carpentry within Tehran and surrounding provinces</w:t>
      </w:r>
    </w:p>
    <w:bookmarkEnd w:id="21"/>
    <w:bookmarkStart w:id="22" w:name="scope-of-work-and-line-items"/>
    <w:p>
      <w:pPr>
        <w:pStyle w:val="Heading2"/>
      </w:pPr>
      <w:r>
        <w:t xml:space="preserve">2. Scope of Work and Line Items</w:t>
      </w:r>
    </w:p>
    <w:p>
      <w:pPr>
        <w:pStyle w:val="FirstParagraph"/>
      </w:pPr>
      <w:r>
        <w:t xml:space="preserve">This Purchase Order is issued by Alborz Construction &amp; Interiors Co., Ltd. to engage the services of the above-named Carpenter for the execution of comprehensive carpentry and woodwork tasks at the residential development project located in District 22, Tehran, Iran. The Carpenter shall provide all labor, specialized tools, and consumable materials as specified below. All work must comply with the building codes and regulations of the Tehran Municipality and the Iranian National Building Standards (Standard-e Melli).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Carpentry Work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Price (IRR)</w:t>
            </w:r>
          </w:p>
        </w:tc>
      </w:tr>
      <w:tr>
        <w:tc>
          <w:tcPr/>
          <w:p>
            <w:pPr>
              <w:pStyle w:val="Compact"/>
              <w:jc w:val="left"/>
            </w:pPr>
            <w:r>
              <w:t xml:space="preserve">01</w:t>
            </w:r>
          </w:p>
        </w:tc>
        <w:tc>
          <w:tcPr/>
          <w:p>
            <w:pPr>
              <w:pStyle w:val="Compact"/>
              <w:jc w:val="left"/>
            </w:pPr>
            <w:r>
              <w:t xml:space="preserve">Custom hardwood kitchen cabinetry (oak, hand-finished) including upper and lower units, countertop installation, and hardware fitting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Engineered oak hardwood flooring installation for living room, master bedroom, and hallway (including underlayment, trimming, and finishing)</w:t>
            </w:r>
          </w:p>
        </w:tc>
        <w:tc>
          <w:tcPr/>
          <w:p>
            <w:pPr>
              <w:pStyle w:val="Compact"/>
              <w:jc w:val="left"/>
            </w:pPr>
            <w:r>
              <w:t xml:space="preserve">185</w:t>
            </w:r>
          </w:p>
        </w:tc>
        <w:tc>
          <w:tcPr/>
          <w:p>
            <w:pPr>
              <w:pStyle w:val="Compact"/>
              <w:jc w:val="left"/>
            </w:pPr>
            <w:r>
              <w:t xml:space="preserve">Sqm</w:t>
            </w:r>
          </w:p>
        </w:tc>
        <w:tc>
          <w:tcPr/>
          <w:p>
            <w:pPr>
              <w:pStyle w:val="Compact"/>
              <w:jc w:val="left"/>
            </w:pPr>
            <w:r>
              <w:t xml:space="preserve">3,200,000</w:t>
            </w:r>
          </w:p>
        </w:tc>
        <w:tc>
          <w:tcPr/>
          <w:p>
            <w:pPr>
              <w:pStyle w:val="Compact"/>
              <w:jc w:val="left"/>
            </w:pPr>
            <w:r>
              <w:t xml:space="preserve">592,000,000</w:t>
            </w:r>
          </w:p>
        </w:tc>
      </w:tr>
      <w:tr>
        <w:tc>
          <w:tcPr/>
          <w:p>
            <w:pPr>
              <w:pStyle w:val="Compact"/>
              <w:jc w:val="left"/>
            </w:pPr>
            <w:r>
              <w:t xml:space="preserve">03</w:t>
            </w:r>
          </w:p>
        </w:tc>
        <w:tc>
          <w:tcPr/>
          <w:p>
            <w:pPr>
              <w:pStyle w:val="Compact"/>
              <w:jc w:val="left"/>
            </w:pPr>
            <w:r>
              <w:t xml:space="preserve">Structural wood framing and ceiling joist installation for the second-floor mezzanine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04</w:t>
            </w:r>
          </w:p>
        </w:tc>
        <w:tc>
          <w:tcPr/>
          <w:p>
            <w:pPr>
              <w:pStyle w:val="Compact"/>
              <w:jc w:val="left"/>
            </w:pPr>
            <w:r>
              <w:t xml:space="preserve">Decorative carved wood paneling (traditional Persian geometric motifs) for the main entrance foyer and staircase wall</w:t>
            </w:r>
          </w:p>
        </w:tc>
        <w:tc>
          <w:tcPr/>
          <w:p>
            <w:pPr>
              <w:pStyle w:val="Compact"/>
              <w:jc w:val="left"/>
            </w:pPr>
            <w:r>
              <w:t xml:space="preserve">42</w:t>
            </w:r>
          </w:p>
        </w:tc>
        <w:tc>
          <w:tcPr/>
          <w:p>
            <w:pPr>
              <w:pStyle w:val="Compact"/>
              <w:jc w:val="left"/>
            </w:pPr>
            <w:r>
              <w:t xml:space="preserve">Sqm</w:t>
            </w:r>
          </w:p>
        </w:tc>
        <w:tc>
          <w:tcPr/>
          <w:p>
            <w:pPr>
              <w:pStyle w:val="Compact"/>
              <w:jc w:val="left"/>
            </w:pPr>
            <w:r>
              <w:t xml:space="preserve">5,800,000</w:t>
            </w:r>
          </w:p>
        </w:tc>
        <w:tc>
          <w:tcPr/>
          <w:p>
            <w:pPr>
              <w:pStyle w:val="Compact"/>
              <w:jc w:val="left"/>
            </w:pPr>
            <w:r>
              <w:t xml:space="preserve">243,600,000</w:t>
            </w:r>
          </w:p>
        </w:tc>
      </w:tr>
      <w:tr>
        <w:tc>
          <w:tcPr/>
          <w:p>
            <w:pPr>
              <w:pStyle w:val="Compact"/>
              <w:jc w:val="left"/>
            </w:pPr>
            <w:r>
              <w:t xml:space="preserve">05</w:t>
            </w:r>
          </w:p>
        </w:tc>
        <w:tc>
          <w:tcPr/>
          <w:p>
            <w:pPr>
              <w:pStyle w:val="Compact"/>
              <w:jc w:val="left"/>
            </w:pPr>
            <w:r>
              <w:t xml:space="preserve">Built-in wardrobe and closet systems with sliding doors (walnut veneer, soft-close mechanisms) for three bedrooms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275,000,000</w:t>
            </w:r>
          </w:p>
        </w:tc>
        <w:tc>
          <w:tcPr/>
          <w:p>
            <w:pPr>
              <w:pStyle w:val="Compact"/>
              <w:jc w:val="left"/>
            </w:pPr>
            <w:r>
              <w:t xml:space="preserve">825,000,000</w:t>
            </w:r>
          </w:p>
        </w:tc>
      </w:tr>
      <w:tr>
        <w:tc>
          <w:tcPr/>
          <w:p>
            <w:pPr>
              <w:pStyle w:val="Compact"/>
              <w:jc w:val="left"/>
            </w:pPr>
            <w:r>
              <w:t xml:space="preserve">06</w:t>
            </w:r>
          </w:p>
        </w:tc>
        <w:tc>
          <w:tcPr/>
          <w:p>
            <w:pPr>
              <w:pStyle w:val="Compact"/>
              <w:jc w:val="left"/>
            </w:pPr>
            <w:r>
              <w:t xml:space="preserve">Custom wooden bookshelf and study desk (solid walnut, hand-crafted) for the home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198,000,000</w:t>
            </w:r>
          </w:p>
        </w:tc>
        <w:tc>
          <w:tcPr/>
          <w:p>
            <w:pPr>
              <w:pStyle w:val="Compact"/>
              <w:jc w:val="left"/>
            </w:pPr>
            <w:r>
              <w:t xml:space="preserve">198,000,000</w:t>
            </w:r>
          </w:p>
        </w:tc>
      </w:tr>
      <w:tr>
        <w:tc>
          <w:tcPr/>
          <w:p>
            <w:pPr>
              <w:pStyle w:val="Compact"/>
              <w:jc w:val="left"/>
            </w:pPr>
            <w:r>
              <w:t xml:space="preserve">07</w:t>
            </w:r>
          </w:p>
        </w:tc>
        <w:tc>
          <w:tcPr/>
          <w:p>
            <w:pPr>
              <w:pStyle w:val="Compact"/>
              <w:jc w:val="left"/>
            </w:pPr>
            <w:r>
              <w:t xml:space="preserve">Wooden window frames, sills, and exterior door replacement (treated cedar, weather-sealed) for all ground-floor openings</w:t>
            </w:r>
          </w:p>
        </w:tc>
        <w:tc>
          <w:tcPr/>
          <w:p>
            <w:pPr>
              <w:pStyle w:val="Compact"/>
              <w:jc w:val="left"/>
            </w:pPr>
            <w:r>
              <w:t xml:space="preserve">14</w:t>
            </w:r>
          </w:p>
        </w:tc>
        <w:tc>
          <w:tcPr/>
          <w:p>
            <w:pPr>
              <w:pStyle w:val="Compact"/>
              <w:jc w:val="left"/>
            </w:pPr>
            <w:r>
              <w:t xml:space="preserve">Units</w:t>
            </w:r>
          </w:p>
        </w:tc>
        <w:tc>
          <w:tcPr/>
          <w:p>
            <w:pPr>
              <w:pStyle w:val="Compact"/>
              <w:jc w:val="left"/>
            </w:pPr>
            <w:r>
              <w:t xml:space="preserve">42,000,000</w:t>
            </w:r>
          </w:p>
        </w:tc>
        <w:tc>
          <w:tcPr/>
          <w:p>
            <w:pPr>
              <w:pStyle w:val="Compact"/>
              <w:jc w:val="left"/>
            </w:pPr>
            <w:r>
              <w:t xml:space="preserve">588,000,000</w:t>
            </w:r>
          </w:p>
        </w:tc>
      </w:tr>
      <w:tr>
        <w:tc>
          <w:tcPr/>
          <w:p>
            <w:pPr>
              <w:pStyle w:val="Compact"/>
              <w:jc w:val="left"/>
            </w:pPr>
            <w:r>
              <w:t xml:space="preserve">08</w:t>
            </w:r>
          </w:p>
        </w:tc>
        <w:tc>
          <w:tcPr/>
          <w:p>
            <w:pPr>
              <w:pStyle w:val="Compact"/>
              <w:jc w:val="left"/>
            </w:pPr>
            <w:r>
              <w:t xml:space="preserve">Site supervision, quality inspection, and final finishing touches (sanding, staining, varnishing) across all carpentry deliverables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TOTAL AMOUNT (IRR):</w:t>
            </w:r>
          </w:p>
        </w:tc>
        <w:tc>
          <w:tcPr/>
          <w:p>
            <w:pPr>
              <w:pStyle w:val="Compact"/>
              <w:jc w:val="left"/>
            </w:pPr>
            <w:r>
              <w:t xml:space="preserve">3,346,600,000</w:t>
            </w:r>
          </w:p>
        </w:tc>
      </w:tr>
    </w:tbl>
    <w:bookmarkEnd w:id="22"/>
    <w:bookmarkStart w:id="23" w:name="payment-terms-and-schedule"/>
    <w:p>
      <w:pPr>
        <w:pStyle w:val="Heading2"/>
      </w:pPr>
      <w:r>
        <w:t xml:space="preserve">3. Payment Terms and Schedule</w:t>
      </w:r>
    </w:p>
    <w:p>
      <w:pPr>
        <w:pStyle w:val="FirstParagraph"/>
      </w:pPr>
      <w:r>
        <w:t xml:space="preserve">All payments shall be made in Iranian Rials (IRR) via bank transfer to the Carpenter's designated account at Bank Melli, Tehran branch.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(IRR)</w:t>
            </w:r>
          </w:p>
        </w:tc>
        <w:tc>
          <w:tcPr/>
          <w:p>
            <w:pPr>
              <w:pStyle w:val="Compact"/>
              <w:jc w:val="left"/>
            </w:pPr>
            <w:r>
              <w:t xml:space="preserve">Due Date</w:t>
            </w:r>
          </w:p>
        </w:tc>
      </w:tr>
      <w:tr>
        <w:tc>
          <w:tcPr/>
          <w:p>
            <w:pPr>
              <w:pStyle w:val="Compact"/>
              <w:jc w:val="left"/>
            </w:pPr>
            <w:r>
              <w:t xml:space="preserve">Advance payment upon acceptance of this Purchase Order</w:t>
            </w:r>
          </w:p>
        </w:tc>
        <w:tc>
          <w:tcPr/>
          <w:p>
            <w:pPr>
              <w:pStyle w:val="Compact"/>
              <w:jc w:val="left"/>
            </w:pPr>
            <w:r>
              <w:t xml:space="preserve">30%</w:t>
            </w:r>
          </w:p>
        </w:tc>
        <w:tc>
          <w:tcPr/>
          <w:p>
            <w:pPr>
              <w:pStyle w:val="Compact"/>
              <w:jc w:val="left"/>
            </w:pPr>
            <w:r>
              <w:t xml:space="preserve">1,003,980,000</w:t>
            </w:r>
          </w:p>
        </w:tc>
        <w:tc>
          <w:tcPr/>
          <w:p>
            <w:pPr>
              <w:pStyle w:val="Compact"/>
              <w:jc w:val="left"/>
            </w:pPr>
            <w:r>
              <w:t xml:space="preserve">Within 5 business days of PO acceptance</w:t>
            </w:r>
          </w:p>
        </w:tc>
      </w:tr>
      <w:tr>
        <w:tc>
          <w:tcPr/>
          <w:p>
            <w:pPr>
              <w:pStyle w:val="Compact"/>
              <w:jc w:val="left"/>
            </w:pPr>
            <w:r>
              <w:t xml:space="preserve">Upon completion of flooring and structural framing (Items 02 &amp; 03)</w:t>
            </w:r>
          </w:p>
        </w:tc>
        <w:tc>
          <w:tcPr/>
          <w:p>
            <w:pPr>
              <w:pStyle w:val="Compact"/>
              <w:jc w:val="left"/>
            </w:pPr>
            <w:r>
              <w:t xml:space="preserve">30%</w:t>
            </w:r>
          </w:p>
        </w:tc>
        <w:tc>
          <w:tcPr/>
          <w:p>
            <w:pPr>
              <w:pStyle w:val="Compact"/>
              <w:jc w:val="left"/>
            </w:pPr>
            <w:r>
              <w:t xml:space="preserve">1,003,980,000</w:t>
            </w:r>
          </w:p>
        </w:tc>
        <w:tc>
          <w:tcPr/>
          <w:p>
            <w:pPr>
              <w:pStyle w:val="Compact"/>
              <w:jc w:val="left"/>
            </w:pPr>
            <w:r>
              <w:t xml:space="preserve">Upon site inspection approval</w:t>
            </w:r>
          </w:p>
        </w:tc>
      </w:tr>
      <w:tr>
        <w:tc>
          <w:tcPr/>
          <w:p>
            <w:pPr>
              <w:pStyle w:val="Compact"/>
              <w:jc w:val="left"/>
            </w:pPr>
            <w:r>
              <w:t xml:space="preserve">Upon completion of cabinetry, paneling, and built-in furniture (Items 01, 04, 05, 06)</w:t>
            </w:r>
          </w:p>
        </w:tc>
        <w:tc>
          <w:tcPr/>
          <w:p>
            <w:pPr>
              <w:pStyle w:val="Compact"/>
              <w:jc w:val="left"/>
            </w:pPr>
            <w:r>
              <w:t xml:space="preserve">30%</w:t>
            </w:r>
          </w:p>
        </w:tc>
        <w:tc>
          <w:tcPr/>
          <w:p>
            <w:pPr>
              <w:pStyle w:val="Compact"/>
              <w:jc w:val="left"/>
            </w:pPr>
            <w:r>
              <w:t xml:space="preserve">1,003,980,000</w:t>
            </w:r>
          </w:p>
        </w:tc>
        <w:tc>
          <w:tcPr/>
          <w:p>
            <w:pPr>
              <w:pStyle w:val="Compact"/>
              <w:jc w:val="left"/>
            </w:pPr>
            <w:r>
              <w:t xml:space="preserve">Upon site inspection approval</w:t>
            </w:r>
          </w:p>
        </w:tc>
      </w:tr>
      <w:tr>
        <w:tc>
          <w:tcPr/>
          <w:p>
            <w:pPr>
              <w:pStyle w:val="Compact"/>
              <w:jc w:val="left"/>
            </w:pPr>
            <w:r>
              <w:t xml:space="preserve">Final payment upon full completion, handover, and 30-day defect-free period</w:t>
            </w:r>
          </w:p>
        </w:tc>
        <w:tc>
          <w:tcPr/>
          <w:p>
            <w:pPr>
              <w:pStyle w:val="Compact"/>
              <w:jc w:val="left"/>
            </w:pPr>
            <w:r>
              <w:t xml:space="preserve">10%</w:t>
            </w:r>
          </w:p>
        </w:tc>
        <w:tc>
          <w:tcPr/>
          <w:p>
            <w:pPr>
              <w:pStyle w:val="Compact"/>
              <w:jc w:val="left"/>
            </w:pPr>
            <w:r>
              <w:t xml:space="preserve">334,660,000</w:t>
            </w:r>
          </w:p>
        </w:tc>
        <w:tc>
          <w:tcPr/>
          <w:p>
            <w:pPr>
              <w:pStyle w:val="Compact"/>
              <w:jc w:val="left"/>
            </w:pPr>
            <w:r>
              <w:t xml:space="preserve">30 days after final acceptance</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Compliance with Local Regulations:</w:t>
      </w:r>
      <w:r>
        <w:t xml:space="preserve"> </w:t>
      </w:r>
      <w:r>
        <w:t xml:space="preserve">The Carpenter shall perform all work in strict accordance with the Tehran Municipality building regulations, the Iranian National Building Standards (Sazman-e Standard-ha-ye Melli), and all applicable environmental and safety codes in force in Tehran, Iran. Any required permits or inspections shall be coordinated by the Carpenter with the local District 22 municipal office.</w:t>
      </w:r>
    </w:p>
    <w:p>
      <w:pPr>
        <w:numPr>
          <w:ilvl w:val="0"/>
          <w:numId w:val="1001"/>
        </w:numPr>
        <w:pStyle w:val="Compact"/>
      </w:pPr>
      <w:r>
        <w:rPr>
          <w:bCs/>
          <w:b/>
        </w:rPr>
        <w:t xml:space="preserve">Timeline:</w:t>
      </w:r>
      <w:r>
        <w:t xml:space="preserve"> </w:t>
      </w:r>
      <w:r>
        <w:t xml:space="preserve">All carpentry work shall be commenced no later than 20 Farvardin 1404 (March 10, 2025) and completed no later than 15 Ordibehesht 1404 (April 5, 2025). Delays exceeding five (5) business days without written justification from the Carpenter shall incur a penalty of 0.5% of the total Purchase Order value per day of delay.</w:t>
      </w:r>
    </w:p>
    <w:p>
      <w:pPr>
        <w:numPr>
          <w:ilvl w:val="0"/>
          <w:numId w:val="1001"/>
        </w:numPr>
        <w:pStyle w:val="Compact"/>
      </w:pPr>
      <w:r>
        <w:rPr>
          <w:bCs/>
          <w:b/>
        </w:rPr>
        <w:t xml:space="preserve">Materials and Quality:</w:t>
      </w:r>
      <w:r>
        <w:t xml:space="preserve"> </w:t>
      </w:r>
      <w:r>
        <w:t xml:space="preserve">All wood materials (oak, walnut, cedar) shall be sourced from certified suppliers within Iran or approved international vendors, and must meet the moisture content and grade specifications outlined in the project technical annex. The Carpenter is responsible for material storage, protection from Tehran's seasonal humidity, and proper acclimatization prior to installation.</w:t>
      </w:r>
    </w:p>
    <w:p>
      <w:pPr>
        <w:numPr>
          <w:ilvl w:val="0"/>
          <w:numId w:val="1001"/>
        </w:numPr>
        <w:pStyle w:val="Compact"/>
      </w:pPr>
      <w:r>
        <w:rPr>
          <w:bCs/>
          <w:b/>
        </w:rPr>
        <w:t xml:space="preserve">Workmanship Warranty:</w:t>
      </w:r>
      <w:r>
        <w:t xml:space="preserve"> </w:t>
      </w:r>
      <w:r>
        <w:t xml:space="preserve">The Carpenter provides a minimum two-year (24-month) warranty on all carpentry workmanship and structural woodwork. Any defects arising from poor workmanship within this period shall be rectified at no additional cost to the purchaser.</w:t>
      </w:r>
    </w:p>
    <w:p>
      <w:pPr>
        <w:numPr>
          <w:ilvl w:val="0"/>
          <w:numId w:val="1001"/>
        </w:numPr>
        <w:pStyle w:val="Compact"/>
      </w:pPr>
      <w:r>
        <w:rPr>
          <w:bCs/>
          <w:b/>
        </w:rPr>
        <w:t xml:space="preserve">Site Safety:</w:t>
      </w:r>
      <w:r>
        <w:t xml:space="preserve"> </w:t>
      </w:r>
      <w:r>
        <w:t xml:space="preserve">The Carpenter shall ensure full compliance with occupational health and safety standards as mandated by the Iranian Ministry of Labor. All workers on the Tehran site must wear appropriate personal protective equipment (PPE). The Carpenter is liable for any injuries or accidents occurring due to negligence on the job site.</w:t>
      </w:r>
    </w:p>
    <w:p>
      <w:pPr>
        <w:numPr>
          <w:ilvl w:val="0"/>
          <w:numId w:val="1001"/>
        </w:numPr>
        <w:pStyle w:val="Compact"/>
      </w:pPr>
      <w:r>
        <w:rPr>
          <w:bCs/>
          <w:b/>
        </w:rPr>
        <w:t xml:space="preserve">Intellectual Property and Design:</w:t>
      </w:r>
      <w:r>
        <w:t xml:space="preserve"> </w:t>
      </w:r>
      <w:r>
        <w:t xml:space="preserve">All custom designs, carved patterns, and technical drawings provided by Alborz Construction &amp; Interiors Co., Ltd. remain the exclusive property of the purchaser. The Carpenter shall not reproduce, share, or use these designs for any other project without written consent.</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If unresolved within thirty (30) days, the matter shall be referred to the competent commercial court in Tehran, Iran, in accordance with the Iranian Civil Code and the Law of Obligations.</w:t>
      </w:r>
    </w:p>
    <w:p>
      <w:pPr>
        <w:numPr>
          <w:ilvl w:val="0"/>
          <w:numId w:val="1001"/>
        </w:numPr>
        <w:pStyle w:val="Compact"/>
      </w:pPr>
      <w:r>
        <w:rPr>
          <w:bCs/>
          <w:b/>
        </w:rPr>
        <w:t xml:space="preserve">Force Majeure:</w:t>
      </w:r>
      <w:r>
        <w:t xml:space="preserve"> </w:t>
      </w:r>
      <w:r>
        <w:t xml:space="preserve">Neither party shall be held liable for delays or non-performance caused by events beyond reasonable control, including but not limited to natural disasters, government-mandated closures, or supply chain disruptions affecting the Tehran region, provided that the affected party notifies the other in writing within 48 hours.</w:t>
      </w:r>
    </w:p>
    <w:p>
      <w:pPr>
        <w:numPr>
          <w:ilvl w:val="0"/>
          <w:numId w:val="1001"/>
        </w:numPr>
        <w:pStyle w:val="Compact"/>
      </w:pPr>
      <w:r>
        <w:rPr>
          <w:bCs/>
          <w:b/>
        </w:rPr>
        <w:t xml:space="preserve">Subcontracting:</w:t>
      </w:r>
      <w:r>
        <w:t xml:space="preserve"> </w:t>
      </w:r>
      <w:r>
        <w:t xml:space="preserve">The Carpenter shall not subcontract any portion of the carpentry work without prior written approval from Alborz Construction &amp; Interiors Co., Ltd. Any approved subcontractor shall be bound by the same terms and conditions as stated in this Purchase Order.</w:t>
      </w:r>
    </w:p>
    <w:p>
      <w:pPr>
        <w:numPr>
          <w:ilvl w:val="0"/>
          <w:numId w:val="1001"/>
        </w:numPr>
        <w:pStyle w:val="Compact"/>
      </w:pPr>
      <w:r>
        <w:rPr>
          <w:bCs/>
          <w:b/>
        </w:rPr>
        <w:t xml:space="preserve">Tax and Duties:</w:t>
      </w:r>
      <w:r>
        <w:t xml:space="preserve"> </w:t>
      </w:r>
      <w:r>
        <w:t xml:space="preserve">All applicable Value Added Tax (VAT) and any local municipal levies in Tehran, Iran, are included in the unit prices stated in this Purchase Order. The Carpenter shall provide a valid tax invoice (Faktor-e Maliyati) for each payment milestone.</w:t>
      </w:r>
    </w:p>
    <w:bookmarkEnd w:id="24"/>
    <w:bookmarkStart w:id="25" w:name="acceptance-and-authorization"/>
    <w:p>
      <w:pPr>
        <w:pStyle w:val="Heading2"/>
      </w:pPr>
      <w:r>
        <w:t xml:space="preserve">5. Acceptance and Authorization</w:t>
      </w:r>
    </w:p>
    <w:p>
      <w:pPr>
        <w:pStyle w:val="FirstParagraph"/>
      </w:pPr>
      <w:r>
        <w:t xml:space="preserve">This Purchase Order becomes binding upon signature by both parties. The Carpenter acknowledges receipt of all project specifications, site access instructions, and technical drawings for the Tehran residential development. By signing below, the Carpenter confirms availability to commence work within the stipulated timeline and agrees to all terms and conditions set forth in this document.</w:t>
      </w:r>
    </w:p>
    <w:bookmarkEnd w:id="25"/>
    <w:p>
      <w:pPr>
        <w:pStyle w:val="BodyText"/>
      </w:pPr>
      <w:r>
        <w:rPr>
          <w:bCs/>
          <w:b/>
        </w:rPr>
        <w:t xml:space="preserve">For and on behalf of Alborz Construction &amp; Interiors Co., Ltd. (Purchaser):</w:t>
      </w:r>
    </w:p>
    <w:p>
      <w:pPr>
        <w:pStyle w:val="BodyText"/>
      </w:pPr>
      <w:r>
        <w:t xml:space="preserve">Name: Mr. Amir Hosseini</w:t>
      </w:r>
      <w:r>
        <w:br/>
      </w:r>
      <w:r>
        <w:t xml:space="preserve">Title: Head of Procurement &amp; Project Management</w:t>
      </w:r>
      <w:r>
        <w:br/>
      </w:r>
      <w:r>
        <w:t xml:space="preserve">Signature: _________________________</w:t>
      </w:r>
      <w:r>
        <w:br/>
      </w:r>
      <w:r>
        <w:t xml:space="preserve">Date: _________________________</w:t>
      </w:r>
    </w:p>
    <w:p>
      <w:pPr>
        <w:pStyle w:val="BodyText"/>
      </w:pPr>
      <w:r>
        <w:rPr>
          <w:bCs/>
          <w:b/>
        </w:rPr>
        <w:t xml:space="preserve">For and on behalf of Karimi Woodcraft &amp; Carpentry Workshop (Carpenter / Vendor):</w:t>
      </w:r>
    </w:p>
    <w:p>
      <w:pPr>
        <w:pStyle w:val="BodyText"/>
      </w:pPr>
      <w:r>
        <w:t xml:space="preserve">Name: Mr. Reza Karimi</w:t>
      </w:r>
      <w:r>
        <w:br/>
      </w:r>
      <w:r>
        <w:t xml:space="preserve">Title: Master Carpenter &amp; Owner</w:t>
      </w:r>
      <w:r>
        <w:br/>
      </w:r>
      <w:r>
        <w:t xml:space="preserve">Signature: _________________________</w:t>
      </w:r>
      <w:r>
        <w:br/>
      </w:r>
      <w:r>
        <w:t xml:space="preserve">Date: _________________________</w:t>
      </w:r>
    </w:p>
    <w:p>
      <w:pPr>
        <w:pStyle w:val="BodyText"/>
      </w:pPr>
      <w:r>
        <w:t xml:space="preserve">This Purchase Order (PO-2025-TEH-0487) is issued by Alborz Construction &amp; Interiors Co., Ltd., Tehran, Iran, for the engagement of carpentry and woodwork services. This document is valid for a period of fifteen (15) calendar days from the date of issue. Unauthorized reproduction or distribution of this Purchase Order is strictly prohibited. All communications regarding this order shall be directed to the procurement department at the address stated above.</w:t>
      </w:r>
    </w:p>
    <w:p>
      <w:pPr>
        <w:pStyle w:val="BodyText"/>
      </w:pPr>
      <w:r>
        <w:t xml:space="preserve">© 2025 Alborz Construction &amp; Interiors Co., Ltd. | Tehran, Iran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Tehran, Iran</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