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Carpenter Services &amp; Materials Procurement — Japan Osaka Region</w:t>
      </w:r>
    </w:p>
    <w:p>
      <w:pPr>
        <w:pStyle w:val="BodyText"/>
      </w:pPr>
      <w:r>
        <w:t xml:space="preserve">Document Reference: PO-OSK-2025-04782</w:t>
      </w:r>
    </w:p>
    <w:bookmarkEnd w:id="20"/>
    <w:p>
      <w:pPr>
        <w:pStyle w:val="BodyText"/>
      </w:pPr>
      <w:r>
        <w:rPr>
          <w:bCs/>
          <w:b/>
        </w:rPr>
        <w:t xml:space="preserve">Purchase Order No.:</w:t>
      </w:r>
      <w:r>
        <w:t xml:space="preserve"> </w:t>
      </w:r>
      <w:r>
        <w:t xml:space="preserve">PO-OSK-2025-04782</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September 30, 2025</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Purchasing Party (Buyer)</w:t>
            </w:r>
          </w:p>
        </w:tc>
        <w:tc>
          <w:tcPr/>
          <w:p>
            <w:pPr>
              <w:pStyle w:val="Compact"/>
              <w:jc w:val="left"/>
            </w:pPr>
            <w:r>
              <w:t xml:space="preserve">Osaka Metropolitan Construction Authority</w:t>
            </w:r>
          </w:p>
        </w:tc>
        <w:tc>
          <w:tcPr/>
          <w:p>
            <w:pPr>
              <w:pStyle w:val="Compact"/>
              <w:jc w:val="left"/>
            </w:pPr>
            <w:r>
              <w:t xml:space="preserve">3-1-1 Nakanoshima, Kita-ku, Osaka 530-0001, Japan Osaka</w:t>
            </w:r>
            <w:r>
              <w:br/>
            </w:r>
            <w:r>
              <w:t xml:space="preserve">Tel: +81-6-6200-1234</w:t>
            </w:r>
            <w:r>
              <w:br/>
            </w:r>
            <w:r>
              <w:t xml:space="preserve">Email: procurement@osaka-mca.jp</w:t>
            </w:r>
          </w:p>
        </w:tc>
      </w:tr>
      <w:tr>
        <w:tc>
          <w:tcPr/>
          <w:p>
            <w:pPr>
              <w:pStyle w:val="Compact"/>
              <w:jc w:val="left"/>
            </w:pPr>
            <w:r>
              <w:rPr>
                <w:bCs/>
                <w:b/>
              </w:rPr>
              <w:t xml:space="preserve">Supplier / Carpenter Contractor</w:t>
            </w:r>
          </w:p>
        </w:tc>
        <w:tc>
          <w:tcPr/>
          <w:p>
            <w:pPr>
              <w:pStyle w:val="Compact"/>
              <w:jc w:val="left"/>
            </w:pPr>
            <w:r>
              <w:t xml:space="preserve">Kishu Woodcraft Carpenter Co., Ltd.</w:t>
            </w:r>
          </w:p>
        </w:tc>
        <w:tc>
          <w:tcPr/>
          <w:p>
            <w:pPr>
              <w:pStyle w:val="Compact"/>
              <w:jc w:val="left"/>
            </w:pPr>
            <w:r>
              <w:t xml:space="preserve">12-8-4 Tennoji, Sumiyoshi-ku, Osaka 556-0003, Japan Osaka</w:t>
            </w:r>
            <w:r>
              <w:br/>
            </w:r>
            <w:r>
              <w:t xml:space="preserve">Tel: +81-6-6771-5678</w:t>
            </w:r>
            <w:r>
              <w:br/>
            </w:r>
            <w:r>
              <w:t xml:space="preserve">Email: orders@kishuwoodcraft.jp</w:t>
            </w:r>
          </w:p>
        </w:tc>
      </w:tr>
    </w:tbl>
    <w:p>
      <w:pPr>
        <w:pStyle w:val="BodyText"/>
      </w:pPr>
      <w:r>
        <w:t xml:space="preserve">2. Scope of Purchase Order</w:t>
      </w:r>
    </w:p>
    <w:p>
      <w:pPr>
        <w:pStyle w:val="BodyText"/>
      </w:pPr>
      <w:r>
        <w:t xml:space="preserve">This Purchase Order is issued by the Osaka Metropolitan Construction Authority to procure the professional services of a licensed</w:t>
      </w:r>
      <w:r>
        <w:t xml:space="preserve"> </w:t>
      </w:r>
      <w:r>
        <w:t xml:space="preserve">Carpenter</w:t>
      </w:r>
      <w:r>
        <w:t xml:space="preserve"> </w:t>
      </w:r>
      <w:r>
        <w:t xml:space="preserve">and associated carpentry materials for the renovation and structural reinforcement of the Osaka Prefectural Cultural Heritage Center, located in Chuo-ku, Japan Osaka. The selected</w:t>
      </w:r>
      <w:r>
        <w:t xml:space="preserve"> </w:t>
      </w:r>
      <w:r>
        <w:t xml:space="preserve">Carpenter</w:t>
      </w:r>
      <w:r>
        <w:t xml:space="preserve"> </w:t>
      </w:r>
      <w:r>
        <w:t xml:space="preserve">shall be responsible for all woodwork, joinery, structural timber framing, and finishing tasks as detailed in the line items below. All work must comply with the Building Standards Act of Japan and the local ordinances governing construction activities within the Japan Osaka metropolitan area.</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 / Material</w:t>
            </w:r>
          </w:p>
        </w:tc>
        <w:tc>
          <w:tcPr/>
          <w:p>
            <w:pPr>
              <w:pStyle w:val="Compact"/>
              <w:jc w:val="left"/>
            </w:pPr>
            <w:r>
              <w:t xml:space="preserve">Qty</w:t>
            </w:r>
          </w:p>
        </w:tc>
        <w:tc>
          <w:tcPr/>
          <w:p>
            <w:pPr>
              <w:pStyle w:val="Compact"/>
              <w:jc w:val="left"/>
            </w:pPr>
            <w:r>
              <w:t xml:space="preserve">Unit (JPY)</w:t>
            </w:r>
          </w:p>
        </w:tc>
        <w:tc>
          <w:tcPr/>
          <w:p>
            <w:pPr>
              <w:pStyle w:val="Compact"/>
              <w:jc w:val="left"/>
            </w:pPr>
            <w:r>
              <w:t xml:space="preserve">Total (JPY)</w:t>
            </w:r>
          </w:p>
        </w:tc>
        <w:tc>
          <w:tcPr/>
          <w:p>
            <w:pPr>
              <w:pStyle w:val="Compact"/>
              <w:jc w:val="left"/>
            </w:pPr>
            <w:r>
              <w:t xml:space="preserve">Delivery / Execution</w:t>
            </w:r>
          </w:p>
        </w:tc>
      </w:tr>
      <w:tr>
        <w:tc>
          <w:tcPr/>
          <w:p>
            <w:pPr>
              <w:pStyle w:val="Compact"/>
              <w:jc w:val="left"/>
            </w:pPr>
            <w:r>
              <w:t xml:space="preserve">1</w:t>
            </w:r>
          </w:p>
        </w:tc>
        <w:tc>
          <w:tcPr/>
          <w:p>
            <w:pPr>
              <w:pStyle w:val="Compact"/>
              <w:jc w:val="left"/>
            </w:pPr>
            <w:r>
              <w:t xml:space="preserve">Senior Carpenter labor — structural timber framing for the main hall (40-hour weekly engagement, 16 weeks)</w:t>
            </w:r>
          </w:p>
        </w:tc>
        <w:tc>
          <w:tcPr/>
          <w:p>
            <w:pPr>
              <w:pStyle w:val="Compact"/>
              <w:jc w:val="left"/>
            </w:pPr>
            <w:r>
              <w:t xml:space="preserve">640 hrs</w:t>
            </w:r>
          </w:p>
        </w:tc>
        <w:tc>
          <w:tcPr/>
          <w:p>
            <w:pPr>
              <w:pStyle w:val="Compact"/>
              <w:jc w:val="left"/>
            </w:pPr>
            <w:r>
              <w:t xml:space="preserve">6,500</w:t>
            </w:r>
          </w:p>
        </w:tc>
        <w:tc>
          <w:tcPr/>
          <w:p>
            <w:pPr>
              <w:pStyle w:val="Compact"/>
              <w:jc w:val="left"/>
            </w:pPr>
            <w:r>
              <w:t xml:space="preserve">4,160,000</w:t>
            </w:r>
          </w:p>
        </w:tc>
        <w:tc>
          <w:tcPr/>
          <w:p>
            <w:pPr>
              <w:pStyle w:val="Compact"/>
              <w:jc w:val="left"/>
            </w:pPr>
            <w:r>
              <w:t xml:space="preserve">July 1 – Oct 17, 2025</w:t>
            </w:r>
          </w:p>
        </w:tc>
      </w:tr>
      <w:tr>
        <w:tc>
          <w:tcPr/>
          <w:p>
            <w:pPr>
              <w:pStyle w:val="Compact"/>
              <w:jc w:val="left"/>
            </w:pPr>
            <w:r>
              <w:t xml:space="preserve">2</w:t>
            </w:r>
          </w:p>
        </w:tc>
        <w:tc>
          <w:tcPr/>
          <w:p>
            <w:pPr>
              <w:pStyle w:val="Compact"/>
              <w:jc w:val="left"/>
            </w:pPr>
            <w:r>
              <w:t xml:space="preserve">Apprentice Carpenter labor — assistive joinery and sanding (40-hour weekly engagement, 16 weeks)</w:t>
            </w:r>
          </w:p>
        </w:tc>
        <w:tc>
          <w:tcPr/>
          <w:p>
            <w:pPr>
              <w:pStyle w:val="Compact"/>
              <w:jc w:val="left"/>
            </w:pPr>
            <w:r>
              <w:t xml:space="preserve">640 hrs</w:t>
            </w:r>
          </w:p>
        </w:tc>
        <w:tc>
          <w:tcPr/>
          <w:p>
            <w:pPr>
              <w:pStyle w:val="Compact"/>
              <w:jc w:val="left"/>
            </w:pPr>
            <w:r>
              <w:t xml:space="preserve">3,800</w:t>
            </w:r>
          </w:p>
        </w:tc>
        <w:tc>
          <w:tcPr/>
          <w:p>
            <w:pPr>
              <w:pStyle w:val="Compact"/>
              <w:jc w:val="left"/>
            </w:pPr>
            <w:r>
              <w:t xml:space="preserve">2,432,000</w:t>
            </w:r>
          </w:p>
        </w:tc>
        <w:tc>
          <w:tcPr/>
          <w:p>
            <w:pPr>
              <w:pStyle w:val="Compact"/>
              <w:jc w:val="left"/>
            </w:pPr>
            <w:r>
              <w:t xml:space="preserve">July 1 – Oct 17, 2025</w:t>
            </w:r>
          </w:p>
        </w:tc>
      </w:tr>
      <w:tr>
        <w:tc>
          <w:tcPr/>
          <w:p>
            <w:pPr>
              <w:pStyle w:val="Compact"/>
              <w:jc w:val="left"/>
            </w:pPr>
            <w:r>
              <w:t xml:space="preserve">3</w:t>
            </w:r>
          </w:p>
        </w:tc>
        <w:tc>
          <w:tcPr/>
          <w:p>
            <w:pPr>
              <w:pStyle w:val="Compact"/>
              <w:jc w:val="left"/>
            </w:pPr>
            <w:r>
              <w:t xml:space="preserve">Japanese Cypress (Hinoki) structural beams, 200mm × 200mm cross-section, kiln-dried</w:t>
            </w:r>
          </w:p>
        </w:tc>
        <w:tc>
          <w:tcPr/>
          <w:p>
            <w:pPr>
              <w:pStyle w:val="Compact"/>
              <w:jc w:val="left"/>
            </w:pPr>
            <w:r>
              <w:t xml:space="preserve">120 m</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June 25, 2025</w:t>
            </w:r>
          </w:p>
        </w:tc>
      </w:tr>
      <w:tr>
        <w:tc>
          <w:tcPr/>
          <w:p>
            <w:pPr>
              <w:pStyle w:val="Compact"/>
              <w:jc w:val="left"/>
            </w:pPr>
            <w:r>
              <w:t xml:space="preserve">4</w:t>
            </w:r>
          </w:p>
        </w:tc>
        <w:tc>
          <w:tcPr/>
          <w:p>
            <w:pPr>
              <w:pStyle w:val="Compact"/>
              <w:jc w:val="left"/>
            </w:pPr>
            <w:r>
              <w:t xml:space="preserve">Japanese Cedar (Sugi) interior paneling, 12mm thickness, pre-finished</w:t>
            </w:r>
          </w:p>
        </w:tc>
        <w:tc>
          <w:tcPr/>
          <w:p>
            <w:pPr>
              <w:pStyle w:val="Compact"/>
              <w:jc w:val="left"/>
            </w:pPr>
            <w:r>
              <w:t xml:space="preserve">350 m²</w:t>
            </w:r>
          </w:p>
        </w:tc>
        <w:tc>
          <w:tcPr/>
          <w:p>
            <w:pPr>
              <w:pStyle w:val="Compact"/>
              <w:jc w:val="left"/>
            </w:pPr>
            <w:r>
              <w:t xml:space="preserve">9,200</w:t>
            </w:r>
          </w:p>
        </w:tc>
        <w:tc>
          <w:tcPr/>
          <w:p>
            <w:pPr>
              <w:pStyle w:val="Compact"/>
              <w:jc w:val="left"/>
            </w:pPr>
            <w:r>
              <w:t xml:space="preserve">3,220,000</w:t>
            </w:r>
          </w:p>
        </w:tc>
        <w:tc>
          <w:tcPr/>
          <w:p>
            <w:pPr>
              <w:pStyle w:val="Compact"/>
              <w:jc w:val="left"/>
            </w:pPr>
            <w:r>
              <w:t xml:space="preserve">July 10, 2025</w:t>
            </w:r>
          </w:p>
        </w:tc>
      </w:tr>
      <w:tr>
        <w:tc>
          <w:tcPr/>
          <w:p>
            <w:pPr>
              <w:pStyle w:val="Compact"/>
              <w:jc w:val="left"/>
            </w:pPr>
            <w:r>
              <w:t xml:space="preserve">5</w:t>
            </w:r>
          </w:p>
        </w:tc>
        <w:tc>
          <w:tcPr/>
          <w:p>
            <w:pPr>
              <w:pStyle w:val="Compact"/>
              <w:jc w:val="left"/>
            </w:pPr>
            <w:r>
              <w:t xml:space="preserve">Traditional Japanese joinery hardware (tenon pins, dowels, brass fittings) — complete set</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June 28, 2025</w:t>
            </w:r>
          </w:p>
        </w:tc>
      </w:tr>
      <w:tr>
        <w:tc>
          <w:tcPr/>
          <w:p>
            <w:pPr>
              <w:pStyle w:val="Compact"/>
              <w:jc w:val="left"/>
            </w:pPr>
            <w:r>
              <w:t xml:space="preserve">6</w:t>
            </w:r>
          </w:p>
        </w:tc>
        <w:tc>
          <w:tcPr/>
          <w:p>
            <w:pPr>
              <w:pStyle w:val="Compact"/>
              <w:jc w:val="left"/>
            </w:pPr>
            <w:r>
              <w:t xml:space="preserve">Carpenter tooling &amp; equipment rental (circular saws, planers, chisels, clamps) for 16 weeks</w:t>
            </w:r>
          </w:p>
        </w:tc>
        <w:tc>
          <w:tcPr/>
          <w:p>
            <w:pPr>
              <w:pStyle w:val="Compact"/>
              <w:jc w:val="left"/>
            </w:pPr>
            <w:r>
              <w:t xml:space="preserve">16 wks</w:t>
            </w:r>
          </w:p>
        </w:tc>
        <w:tc>
          <w:tcPr/>
          <w:p>
            <w:pPr>
              <w:pStyle w:val="Compact"/>
              <w:jc w:val="left"/>
            </w:pPr>
            <w:r>
              <w:t xml:space="preserve">120,000</w:t>
            </w:r>
          </w:p>
        </w:tc>
        <w:tc>
          <w:tcPr/>
          <w:p>
            <w:pPr>
              <w:pStyle w:val="Compact"/>
              <w:jc w:val="left"/>
            </w:pPr>
            <w:r>
              <w:t xml:space="preserve">1,920,000</w:t>
            </w:r>
          </w:p>
        </w:tc>
        <w:tc>
          <w:tcPr/>
          <w:p>
            <w:pPr>
              <w:pStyle w:val="Compact"/>
              <w:jc w:val="left"/>
            </w:pPr>
            <w:r>
              <w:t xml:space="preserve">July 1 – Oct 17, 2025</w:t>
            </w:r>
          </w:p>
        </w:tc>
      </w:tr>
      <w:tr>
        <w:tc>
          <w:tcPr/>
          <w:p>
            <w:pPr>
              <w:pStyle w:val="Compact"/>
              <w:jc w:val="left"/>
            </w:pPr>
            <w:r>
              <w:t xml:space="preserve">7</w:t>
            </w:r>
          </w:p>
        </w:tc>
        <w:tc>
          <w:tcPr/>
          <w:p>
            <w:pPr>
              <w:pStyle w:val="Compact"/>
              <w:jc w:val="left"/>
            </w:pPr>
            <w:r>
              <w:t xml:space="preserve">Fire-retardant wood treatment &amp; sealing (compliant with Japan Osaka fire code)</w:t>
            </w:r>
          </w:p>
        </w:tc>
        <w:tc>
          <w:tcPr/>
          <w:p>
            <w:pPr>
              <w:pStyle w:val="Compact"/>
              <w:jc w:val="left"/>
            </w:pPr>
            <w:r>
              <w:t xml:space="preserve">350 m²</w:t>
            </w:r>
          </w:p>
        </w:tc>
        <w:tc>
          <w:tcPr/>
          <w:p>
            <w:pPr>
              <w:pStyle w:val="Compact"/>
              <w:jc w:val="left"/>
            </w:pPr>
            <w:r>
              <w:t xml:space="preserve">4,500</w:t>
            </w:r>
          </w:p>
        </w:tc>
        <w:tc>
          <w:tcPr/>
          <w:p>
            <w:pPr>
              <w:pStyle w:val="Compact"/>
              <w:jc w:val="left"/>
            </w:pPr>
            <w:r>
              <w:t xml:space="preserve">1,575,000</w:t>
            </w:r>
          </w:p>
        </w:tc>
        <w:tc>
          <w:tcPr/>
          <w:p>
            <w:pPr>
              <w:pStyle w:val="Compact"/>
              <w:jc w:val="left"/>
            </w:pPr>
            <w:r>
              <w:t xml:space="preserve">Aug 15, 2025</w:t>
            </w:r>
          </w:p>
        </w:tc>
      </w:tr>
      <w:tr>
        <w:tc>
          <w:tcPr/>
          <w:p>
            <w:pPr>
              <w:pStyle w:val="Compact"/>
              <w:jc w:val="left"/>
            </w:pPr>
            <w:r>
              <w:t xml:space="preserve">8</w:t>
            </w:r>
          </w:p>
        </w:tc>
        <w:tc>
          <w:tcPr/>
          <w:p>
            <w:pPr>
              <w:pStyle w:val="Compact"/>
              <w:jc w:val="left"/>
            </w:pPr>
            <w:r>
              <w:t xml:space="preserve">Site supervision &amp; quality inspection by certified Carpenter master (monthly visits)</w:t>
            </w:r>
          </w:p>
        </w:tc>
        <w:tc>
          <w:tcPr/>
          <w:p>
            <w:pPr>
              <w:pStyle w:val="Compact"/>
              <w:jc w:val="left"/>
            </w:pPr>
            <w:r>
              <w:t xml:space="preserve">4 visits</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Monthly, Jul–Oct</w:t>
            </w:r>
          </w:p>
        </w:tc>
      </w:tr>
      <w:tr>
        <w:tc>
          <w:tcPr>
            <w:gridSpan w:val="4"/>
          </w:tcPr>
          <w:p>
            <w:pPr>
              <w:pStyle w:val="Compact"/>
              <w:jc w:val="right"/>
            </w:pPr>
            <w:r>
              <w:t xml:space="preserve">SUBTOTAL</w:t>
            </w:r>
          </w:p>
        </w:tc>
        <w:tc>
          <w:tcPr/>
          <w:p>
            <w:pPr>
              <w:pStyle w:val="Compact"/>
              <w:jc w:val="left"/>
            </w:pPr>
            <w:r>
              <w:t xml:space="preserve">16,352,000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1,635,200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17,987,200</w:t>
            </w:r>
          </w:p>
        </w:tc>
        <w:tc>
          <w:tcPr/>
          <w:p>
            <w:pPr>
              <w:pStyle w:val="Compact"/>
            </w:pPr>
          </w:p>
        </w:tc>
      </w:tr>
    </w:tbl>
    <w:p>
      <w:pPr>
        <w:pStyle w:val="BodyText"/>
      </w:pPr>
      <w:r>
        <w:t xml:space="preserve">4. Terms &amp; Conditions</w:t>
      </w:r>
    </w:p>
    <w:p>
      <w:pPr>
        <w:numPr>
          <w:ilvl w:val="0"/>
          <w:numId w:val="1001"/>
        </w:numPr>
        <w:pStyle w:val="Compact"/>
      </w:pPr>
      <w:r>
        <w:rPr>
          <w:bCs/>
          <w:b/>
        </w:rPr>
        <w:t xml:space="preserve">Compliance with Japan Osaka Regulations:</w:t>
      </w:r>
      <w:r>
        <w:t xml:space="preserve"> </w:t>
      </w:r>
      <w:r>
        <w:t xml:space="preserve">The Carpenter and all subcontracted labor must hold valid licenses recognized by the Osaka City Construction Industry Association. All carpentry work performed within the Japan Osaka jurisdiction shall adhere to the latest revisions of the Building Standards Act and the Osaka City Fire Prevention Ordinance.</w:t>
      </w:r>
    </w:p>
    <w:p>
      <w:pPr>
        <w:numPr>
          <w:ilvl w:val="0"/>
          <w:numId w:val="1001"/>
        </w:numPr>
        <w:pStyle w:val="Compact"/>
      </w:pPr>
      <w:r>
        <w:rPr>
          <w:bCs/>
          <w:b/>
        </w:rPr>
        <w:t xml:space="preserve">Payment Schedule:</w:t>
      </w:r>
      <w:r>
        <w:t xml:space="preserve"> </w:t>
      </w:r>
      <w:r>
        <w:t xml:space="preserve">Payment for this Purchase Order shall be made in three installments: 30% upon execution of this Purchase Order, 40% upon completion of structural framing (estimated August 15, 2025), and the remaining 30% upon final inspection and acceptance of all carpentry work by the Japan Osaka project oversight committee.</w:t>
      </w:r>
    </w:p>
    <w:p>
      <w:pPr>
        <w:numPr>
          <w:ilvl w:val="0"/>
          <w:numId w:val="1001"/>
        </w:numPr>
        <w:pStyle w:val="Compact"/>
      </w:pPr>
      <w:r>
        <w:rPr>
          <w:bCs/>
          <w:b/>
        </w:rPr>
        <w:t xml:space="preserve">Delivery &amp; Site Access:</w:t>
      </w:r>
      <w:r>
        <w:t xml:space="preserve"> </w:t>
      </w:r>
      <w:r>
        <w:t xml:space="preserve">All materials specified in this Purchase Order must be delivered to the project site in Chuo-ku, Japan Osaka, no later than the dates indicated in Section 3. The Carpenter contractor is responsible for unloading, storage, and protection of materials on-site in accordance with Japan Osaka municipal waste and safety regulations.</w:t>
      </w:r>
    </w:p>
    <w:p>
      <w:pPr>
        <w:numPr>
          <w:ilvl w:val="0"/>
          <w:numId w:val="1001"/>
        </w:numPr>
        <w:pStyle w:val="Compact"/>
      </w:pPr>
      <w:r>
        <w:rPr>
          <w:bCs/>
          <w:b/>
        </w:rPr>
        <w:t xml:space="preserve">Quality Assurance:</w:t>
      </w:r>
      <w:r>
        <w:t xml:space="preserve"> </w:t>
      </w:r>
      <w:r>
        <w:t xml:space="preserve">The Carpenter shall ensure that all joinery, framing, and finishing work meets the JIS (Japanese Industrial Standards) specifications for structural timber. Any defective workmanship identified during the 90-day warranty period following completion shall be rectified at no additional cost to the purchasing party.</w:t>
      </w:r>
    </w:p>
    <w:p>
      <w:pPr>
        <w:numPr>
          <w:ilvl w:val="0"/>
          <w:numId w:val="1001"/>
        </w:numPr>
        <w:pStyle w:val="Compact"/>
      </w:pPr>
      <w:r>
        <w:rPr>
          <w:bCs/>
          <w:b/>
        </w:rPr>
        <w:t xml:space="preserve">Insurance &amp; Liability:</w:t>
      </w:r>
      <w:r>
        <w:t xml:space="preserve"> </w:t>
      </w:r>
      <w:r>
        <w:t xml:space="preserve">The Carpenter contractor shall maintain comprehensive general liability insurance with a minimum coverage of 100,000,000 JPY, as well as workers' compensation insurance for all personnel on the Japan Osaka site, for the full duration of the contract.</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typhoons, or tsunamis common to the Japan Osaka region), government-mandated work stoppages, or other events beyond reasonable control, provided written notice is given within 48 hours of the event.</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Japan Commercial Arbitration Association (JCAA) in Osaka, Japan Osaka, before proceeding to litigation in the Osaka District Court.</w:t>
      </w:r>
    </w:p>
    <w:p>
      <w:pPr>
        <w:numPr>
          <w:ilvl w:val="0"/>
          <w:numId w:val="1001"/>
        </w:numPr>
        <w:pStyle w:val="Compact"/>
      </w:pPr>
      <w:r>
        <w:rPr>
          <w:bCs/>
          <w:b/>
        </w:rPr>
        <w:t xml:space="preserve">Confidentiality:</w:t>
      </w:r>
      <w:r>
        <w:t xml:space="preserve"> </w:t>
      </w:r>
      <w:r>
        <w:t xml:space="preserve">Both parties agree to maintain the confidentiality of all project specifications, architectural drawings, and proprietary carpentry techniques shared in connection with this Purchase Order for a period of five (5) years following project completion.</w:t>
      </w:r>
    </w:p>
    <w:p>
      <w:pPr>
        <w:pStyle w:val="FirstParagraph"/>
      </w:pPr>
      <w:r>
        <w:t xml:space="preserve">5. Acceptance &amp; Authorization</w:t>
      </w:r>
    </w:p>
    <w:p>
      <w:pPr>
        <w:pStyle w:val="BodyText"/>
      </w:pPr>
      <w:r>
        <w:t xml:space="preserve">By signing below, both parties acknowledge and agree to all terms, conditions, and specifications outlined in this Purchase Order for Carpenter services and materials to be executed in Japan Osaka. This document constitutes a binding agreement effective from the date of the last signature.</w:t>
      </w:r>
    </w:p>
    <w:p>
      <w:pPr>
        <w:pStyle w:val="BodyText"/>
      </w:pPr>
      <w:r>
        <w:rPr>
          <w:bCs/>
          <w:b/>
        </w:rPr>
        <w:t xml:space="preserve">For the Purchasing Party</w:t>
      </w:r>
      <w:r>
        <w:br/>
      </w:r>
      <w:r>
        <w:t xml:space="preserve">Osaka Metropolitan Construction Authority</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For the Carpenter Contractor</w:t>
      </w:r>
      <w:r>
        <w:br/>
      </w:r>
      <w:r>
        <w:t xml:space="preserve">Kishu Woodcraft Carpenter Co., Ltd.</w:t>
      </w:r>
      <w:r>
        <w:br/>
      </w:r>
      <w:r>
        <w:t xml:space="preserve">Name: _________________________</w:t>
      </w:r>
      <w:r>
        <w:br/>
      </w:r>
      <w:r>
        <w:t xml:space="preserve">Title: Chief Carpenter / Representative</w:t>
      </w:r>
      <w:r>
        <w:br/>
      </w:r>
      <w:r>
        <w:t xml:space="preserve">Date: _________________________</w:t>
      </w:r>
    </w:p>
    <w:p>
      <w:pPr>
        <w:pStyle w:val="BodyText"/>
      </w:pPr>
      <w:r>
        <w:t xml:space="preserve">This Purchase Order (PO-OSK-2025-04782) is valid for 60 days from the date of issue. All communications regarding this Purchase Order should reference the document number above. Issued under the jurisdiction of Japan Osaka, Nippon.</w:t>
      </w:r>
    </w:p>
    <w:p>
      <w:pPr>
        <w:pStyle w:val="BodyText"/>
      </w:pPr>
      <w:r>
        <w:t xml:space="preserve">© 2025 Osaka Metropolitan Construction Authority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Japan Osaka</dc:title>
  <dc:creator/>
  <dc:language>en</dc:language>
  <cp:keywords/>
  <dcterms:created xsi:type="dcterms:W3CDTF">2026-10-10T04:04:22Z</dcterms:created>
  <dcterms:modified xsi:type="dcterms:W3CDTF">2026-10-10T04:04:22Z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