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t xml:space="preserve">Al-Nakheel Construction &amp; Interiors LLC</w:t>
      </w:r>
    </w:p>
    <w:p>
      <w:pPr>
        <w:pStyle w:val="BodyText"/>
      </w:pPr>
      <w:r>
        <w:t xml:space="preserve">Office 412, Business Bay Tower, Kuwait Kuwait City, State of Kuwait</w:t>
      </w:r>
    </w:p>
    <w:p>
      <w:pPr>
        <w:pStyle w:val="BodyText"/>
      </w:pPr>
      <w:r>
        <w:t xml:space="preserve">Tel: +965-2244-7890 | Email: procurement@alnakheel-kw.com | CR: 184729-K</w:t>
      </w:r>
    </w:p>
    <w:bookmarkEnd w:id="20"/>
    <w:p>
      <w:pPr>
        <w:pStyle w:val="BodyText"/>
      </w:pPr>
      <w:r>
        <w:rPr>
          <w:bCs/>
          <w:b/>
        </w:rPr>
        <w:t xml:space="preserve">Purchase Order No.:</w:t>
      </w:r>
      <w:r>
        <w:t xml:space="preserve"> </w:t>
      </w:r>
      <w:r>
        <w:t xml:space="preserve">PO-KW-2025-0487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KWC-RES-2025-112</w:t>
      </w:r>
      <w:r>
        <w:br/>
      </w:r>
      <w:r>
        <w:rPr>
          <w:bCs/>
          <w:b/>
        </w:rPr>
        <w:t xml:space="preserve">Site Location:</w:t>
      </w:r>
      <w:r>
        <w:t xml:space="preserve"> </w:t>
      </w:r>
      <w:r>
        <w:t xml:space="preserve">Salmiya District, Kuwait Kuwait City</w:t>
      </w:r>
      <w:r>
        <w:br/>
      </w:r>
      <w:r>
        <w:rPr>
          <w:bCs/>
          <w:b/>
        </w:rPr>
        <w:t xml:space="preserve">Payment Terms:</w:t>
      </w:r>
      <w:r>
        <w:t xml:space="preserve"> </w:t>
      </w:r>
      <w:r>
        <w:t xml:space="preserve">Net 30 Days</w:t>
      </w:r>
    </w:p>
    <w:p>
      <w:pPr>
        <w:pStyle w:val="BodyText"/>
      </w:pPr>
      <w:r>
        <w:t xml:space="preserve">1. Supplier / Carpenter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Al-Rashid Carpentry &amp; Woodwork Services</w:t>
            </w:r>
          </w:p>
        </w:tc>
      </w:tr>
      <w:tr>
        <w:tc>
          <w:tcPr/>
          <w:p>
            <w:pPr>
              <w:pStyle w:val="Compact"/>
              <w:jc w:val="left"/>
            </w:pPr>
            <w:r>
              <w:t xml:space="preserve">Carpenter / Lead Craftsman</w:t>
            </w:r>
          </w:p>
        </w:tc>
        <w:tc>
          <w:tcPr/>
          <w:p>
            <w:pPr>
              <w:pStyle w:val="Compact"/>
              <w:jc w:val="left"/>
            </w:pPr>
            <w:r>
              <w:t xml:space="preserve">Mr. Hassan Al-Rashid (Master Carpenter, 22 years experience)</w:t>
            </w:r>
          </w:p>
        </w:tc>
      </w:tr>
      <w:tr>
        <w:tc>
          <w:tcPr/>
          <w:p>
            <w:pPr>
              <w:pStyle w:val="Compact"/>
              <w:jc w:val="left"/>
            </w:pPr>
            <w:r>
              <w:t xml:space="preserve">Business Address</w:t>
            </w:r>
          </w:p>
        </w:tc>
        <w:tc>
          <w:tcPr/>
          <w:p>
            <w:pPr>
              <w:pStyle w:val="Compact"/>
              <w:jc w:val="left"/>
            </w:pPr>
            <w:r>
              <w:t xml:space="preserve">Industrial Area 4, Plot 337, Kuwait Kuwait City, State of Kuwait</w:t>
            </w:r>
          </w:p>
        </w:tc>
      </w:tr>
      <w:tr>
        <w:tc>
          <w:tcPr/>
          <w:p>
            <w:pPr>
              <w:pStyle w:val="Compact"/>
              <w:jc w:val="left"/>
            </w:pPr>
            <w:r>
              <w:t xml:space="preserve">Contact Number</w:t>
            </w:r>
          </w:p>
        </w:tc>
        <w:tc>
          <w:tcPr/>
          <w:p>
            <w:pPr>
              <w:pStyle w:val="Compact"/>
              <w:jc w:val="left"/>
            </w:pPr>
            <w:r>
              <w:t xml:space="preserve">+965-9912-3456</w:t>
            </w:r>
          </w:p>
        </w:tc>
      </w:tr>
      <w:tr>
        <w:tc>
          <w:tcPr/>
          <w:p>
            <w:pPr>
              <w:pStyle w:val="Compact"/>
              <w:jc w:val="left"/>
            </w:pPr>
            <w:r>
              <w:t xml:space="preserve">Email</w:t>
            </w:r>
          </w:p>
        </w:tc>
        <w:tc>
          <w:tcPr/>
          <w:p>
            <w:pPr>
              <w:pStyle w:val="Compact"/>
              <w:jc w:val="left"/>
            </w:pPr>
            <w:r>
              <w:t xml:space="preserve">orders@alrashid-carpentry-kw.com</w:t>
            </w:r>
          </w:p>
        </w:tc>
      </w:tr>
      <w:tr>
        <w:tc>
          <w:tcPr/>
          <w:p>
            <w:pPr>
              <w:pStyle w:val="Compact"/>
              <w:jc w:val="left"/>
            </w:pPr>
            <w:r>
              <w:t xml:space="preserve">Commercial Registration</w:t>
            </w:r>
          </w:p>
        </w:tc>
        <w:tc>
          <w:tcPr/>
          <w:p>
            <w:pPr>
              <w:pStyle w:val="Compact"/>
              <w:jc w:val="left"/>
            </w:pPr>
            <w:r>
              <w:t xml:space="preserve">CR No. 229104-K (Registered in Kuwait Kuwait City)</w:t>
            </w:r>
          </w:p>
        </w:tc>
      </w:tr>
      <w:tr>
        <w:tc>
          <w:tcPr/>
          <w:p>
            <w:pPr>
              <w:pStyle w:val="Compact"/>
              <w:jc w:val="left"/>
            </w:pPr>
            <w:r>
              <w:t xml:space="preserve">Trade License</w:t>
            </w:r>
          </w:p>
        </w:tc>
        <w:tc>
          <w:tcPr/>
          <w:p>
            <w:pPr>
              <w:pStyle w:val="Compact"/>
              <w:jc w:val="left"/>
            </w:pPr>
            <w:r>
              <w:t xml:space="preserve">TL-2024-88731 (Carpentry, Joinery &amp; Wood Finishing)</w:t>
            </w:r>
          </w:p>
        </w:tc>
      </w:tr>
    </w:tbl>
    <w:p>
      <w:pPr>
        <w:pStyle w:val="BodyText"/>
      </w:pPr>
      <w:r>
        <w:t xml:space="preserve">2. Scope of Work – Carpenter Services</w:t>
      </w:r>
    </w:p>
    <w:p>
      <w:pPr>
        <w:pStyle w:val="BodyText"/>
      </w:pPr>
      <w:r>
        <w:t xml:space="preserve">This</w:t>
      </w:r>
      <w:r>
        <w:t xml:space="preserve"> </w:t>
      </w:r>
      <w:r>
        <w:t xml:space="preserve">Purchase Order</w:t>
      </w:r>
      <w:r>
        <w:t xml:space="preserve"> </w:t>
      </w:r>
      <w:r>
        <w:t xml:space="preserve">is issued by Al-Nakheel Construction &amp; Interiors LLC to engage the services of a qualified</w:t>
      </w:r>
      <w:r>
        <w:t xml:space="preserve"> </w:t>
      </w:r>
      <w:r>
        <w:t xml:space="preserve">Carpenter</w:t>
      </w:r>
      <w:r>
        <w:t xml:space="preserve"> </w:t>
      </w:r>
      <w:r>
        <w:t xml:space="preserve">and associated woodwork team for the execution of custom joinery, cabinetry, and interior wood finishing works at the residential development site located in</w:t>
      </w:r>
      <w:r>
        <w:t xml:space="preserve"> </w:t>
      </w:r>
      <w:r>
        <w:t xml:space="preserve">Kuwait Kuwait City</w:t>
      </w:r>
      <w:r>
        <w:t xml:space="preserve">. The</w:t>
      </w:r>
      <w:r>
        <w:t xml:space="preserve"> </w:t>
      </w:r>
      <w:r>
        <w:t xml:space="preserve">Carpenter</w:t>
      </w:r>
      <w:r>
        <w:t xml:space="preserve"> </w:t>
      </w:r>
      <w:r>
        <w:t xml:space="preserve">shall be responsible for all aspects of wood fabrication, installation, and finishing as detailed in the schedule below. All work must comply with the Kuwait Building Code, the specifications outlined in the project drawings (Rev. C), and the safety regulations enforced by the Public Works Authority (KPA) in</w:t>
      </w:r>
      <w:r>
        <w:t xml:space="preserve"> </w:t>
      </w:r>
      <w:r>
        <w:t xml:space="preserve">Kuwait Kuwait City</w:t>
      </w:r>
      <w:r>
        <w:t xml:space="preserve">.</w:t>
      </w:r>
    </w:p>
    <w:p>
      <w:pPr>
        <w:pStyle w:val="BodyText"/>
      </w:pPr>
      <w:r>
        <w:t xml:space="preserve">3. Schedule of Items and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Work / Item</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Total Price (KWD)</w:t>
            </w:r>
          </w:p>
        </w:tc>
      </w:tr>
      <w:tr>
        <w:tc>
          <w:tcPr/>
          <w:p>
            <w:pPr>
              <w:pStyle w:val="Compact"/>
              <w:jc w:val="left"/>
            </w:pPr>
            <w:r>
              <w:t xml:space="preserve">1</w:t>
            </w:r>
          </w:p>
        </w:tc>
        <w:tc>
          <w:tcPr/>
          <w:p>
            <w:pPr>
              <w:pStyle w:val="Compact"/>
              <w:jc w:val="left"/>
            </w:pPr>
            <w:r>
              <w:t xml:space="preserve">Custom kitchen cabinetry (oak veneer, soft-close hardware) – design, fabrication, and installation</w:t>
            </w:r>
          </w:p>
        </w:tc>
        <w:tc>
          <w:tcPr/>
          <w:p>
            <w:pPr>
              <w:pStyle w:val="Compact"/>
              <w:jc w:val="left"/>
            </w:pPr>
            <w:r>
              <w:t xml:space="preserve">Lot</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2</w:t>
            </w:r>
          </w:p>
        </w:tc>
        <w:tc>
          <w:tcPr/>
          <w:p>
            <w:pPr>
              <w:pStyle w:val="Compact"/>
              <w:jc w:val="left"/>
            </w:pPr>
            <w:r>
              <w:t xml:space="preserve">Master bedroom wardrobe system (walnut, integrated LED lighting, sliding doors)</w:t>
            </w:r>
          </w:p>
        </w:tc>
        <w:tc>
          <w:tcPr/>
          <w:p>
            <w:pPr>
              <w:pStyle w:val="Compact"/>
              <w:jc w:val="left"/>
            </w:pPr>
            <w:r>
              <w:t xml:space="preserve">Lot</w:t>
            </w:r>
          </w:p>
        </w:tc>
        <w:tc>
          <w:tcPr/>
          <w:p>
            <w:pPr>
              <w:pStyle w:val="Compact"/>
              <w:jc w:val="left"/>
            </w:pPr>
            <w:r>
              <w:t xml:space="preserve">2</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3</w:t>
            </w:r>
          </w:p>
        </w:tc>
        <w:tc>
          <w:tcPr/>
          <w:p>
            <w:pPr>
              <w:pStyle w:val="Compact"/>
              <w:jc w:val="left"/>
            </w:pPr>
            <w:r>
              <w:t xml:space="preserve">Entrance hall feature wall paneling (mahogany, hand-carved geometric motifs)</w:t>
            </w:r>
          </w:p>
        </w:tc>
        <w:tc>
          <w:tcPr/>
          <w:p>
            <w:pPr>
              <w:pStyle w:val="Compact"/>
              <w:jc w:val="left"/>
            </w:pPr>
            <w:r>
              <w:t xml:space="preserve">Lot</w:t>
            </w:r>
          </w:p>
        </w:tc>
        <w:tc>
          <w:tcPr/>
          <w:p>
            <w:pPr>
              <w:pStyle w:val="Compact"/>
              <w:jc w:val="left"/>
            </w:pPr>
            <w:r>
              <w:t xml:space="preserve">1</w:t>
            </w:r>
          </w:p>
        </w:tc>
        <w:tc>
          <w:tcPr/>
          <w:p>
            <w:pPr>
              <w:pStyle w:val="Compact"/>
              <w:jc w:val="left"/>
            </w:pPr>
            <w:r>
              <w:t xml:space="preserve">2,750.000</w:t>
            </w:r>
          </w:p>
        </w:tc>
        <w:tc>
          <w:tcPr/>
          <w:p>
            <w:pPr>
              <w:pStyle w:val="Compact"/>
              <w:jc w:val="left"/>
            </w:pPr>
            <w:r>
              <w:t xml:space="preserve">2,750.000</w:t>
            </w:r>
          </w:p>
        </w:tc>
      </w:tr>
      <w:tr>
        <w:tc>
          <w:tcPr/>
          <w:p>
            <w:pPr>
              <w:pStyle w:val="Compact"/>
              <w:jc w:val="left"/>
            </w:pPr>
            <w:r>
              <w:t xml:space="preserve">4</w:t>
            </w:r>
          </w:p>
        </w:tc>
        <w:tc>
          <w:tcPr/>
          <w:p>
            <w:pPr>
              <w:pStyle w:val="Compact"/>
              <w:jc w:val="left"/>
            </w:pPr>
            <w:r>
              <w:t xml:space="preserve">Bathroom vanity units with stone countertops (3 units, teak wood base)</w:t>
            </w:r>
          </w:p>
        </w:tc>
        <w:tc>
          <w:tcPr/>
          <w:p>
            <w:pPr>
              <w:pStyle w:val="Compact"/>
              <w:jc w:val="left"/>
            </w:pPr>
            <w:r>
              <w:t xml:space="preserve">Unit</w:t>
            </w:r>
          </w:p>
        </w:tc>
        <w:tc>
          <w:tcPr/>
          <w:p>
            <w:pPr>
              <w:pStyle w:val="Compact"/>
              <w:jc w:val="left"/>
            </w:pPr>
            <w:r>
              <w:t xml:space="preserve">3</w:t>
            </w:r>
          </w:p>
        </w:tc>
        <w:tc>
          <w:tcPr/>
          <w:p>
            <w:pPr>
              <w:pStyle w:val="Compact"/>
              <w:jc w:val="left"/>
            </w:pPr>
            <w:r>
              <w:t xml:space="preserve">1,150.000</w:t>
            </w:r>
          </w:p>
        </w:tc>
        <w:tc>
          <w:tcPr/>
          <w:p>
            <w:pPr>
              <w:pStyle w:val="Compact"/>
              <w:jc w:val="left"/>
            </w:pPr>
            <w:r>
              <w:t xml:space="preserve">3,450.000</w:t>
            </w:r>
          </w:p>
        </w:tc>
      </w:tr>
      <w:tr>
        <w:tc>
          <w:tcPr/>
          <w:p>
            <w:pPr>
              <w:pStyle w:val="Compact"/>
              <w:jc w:val="left"/>
            </w:pPr>
            <w:r>
              <w:t xml:space="preserve">5</w:t>
            </w:r>
          </w:p>
        </w:tc>
        <w:tc>
          <w:tcPr/>
          <w:p>
            <w:pPr>
              <w:pStyle w:val="Compact"/>
              <w:jc w:val="left"/>
            </w:pPr>
            <w:r>
              <w:t xml:space="preserve">Staircase handrail and balustrade (solid teak, custom turned balusters)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3,900.000</w:t>
            </w:r>
          </w:p>
        </w:tc>
        <w:tc>
          <w:tcPr/>
          <w:p>
            <w:pPr>
              <w:pStyle w:val="Compact"/>
              <w:jc w:val="left"/>
            </w:pPr>
            <w:r>
              <w:t xml:space="preserve">3,900.000</w:t>
            </w:r>
          </w:p>
        </w:tc>
      </w:tr>
      <w:tr>
        <w:tc>
          <w:tcPr/>
          <w:p>
            <w:pPr>
              <w:pStyle w:val="Compact"/>
              <w:jc w:val="left"/>
            </w:pPr>
            <w:r>
              <w:t xml:space="preserve">6</w:t>
            </w:r>
          </w:p>
        </w:tc>
        <w:tc>
          <w:tcPr/>
          <w:p>
            <w:pPr>
              <w:pStyle w:val="Compact"/>
              <w:jc w:val="left"/>
            </w:pPr>
            <w:r>
              <w:t xml:space="preserve">Interior door frames and door casings (all 14 doors, matching veneer)</w:t>
            </w:r>
          </w:p>
        </w:tc>
        <w:tc>
          <w:tcPr/>
          <w:p>
            <w:pPr>
              <w:pStyle w:val="Compact"/>
              <w:jc w:val="left"/>
            </w:pPr>
            <w:r>
              <w:t xml:space="preserve">Door</w:t>
            </w:r>
          </w:p>
        </w:tc>
        <w:tc>
          <w:tcPr/>
          <w:p>
            <w:pPr>
              <w:pStyle w:val="Compact"/>
              <w:jc w:val="left"/>
            </w:pPr>
            <w:r>
              <w:t xml:space="preserve">14</w:t>
            </w:r>
          </w:p>
        </w:tc>
        <w:tc>
          <w:tcPr/>
          <w:p>
            <w:pPr>
              <w:pStyle w:val="Compact"/>
              <w:jc w:val="left"/>
            </w:pPr>
            <w:r>
              <w:t xml:space="preserve">185.000</w:t>
            </w:r>
          </w:p>
        </w:tc>
        <w:tc>
          <w:tcPr/>
          <w:p>
            <w:pPr>
              <w:pStyle w:val="Compact"/>
              <w:jc w:val="left"/>
            </w:pPr>
            <w:r>
              <w:t xml:space="preserve">2,590.000</w:t>
            </w:r>
          </w:p>
        </w:tc>
      </w:tr>
      <w:tr>
        <w:tc>
          <w:tcPr/>
          <w:p>
            <w:pPr>
              <w:pStyle w:val="Compact"/>
              <w:jc w:val="left"/>
            </w:pPr>
            <w:r>
              <w:t xml:space="preserve">7</w:t>
            </w:r>
          </w:p>
        </w:tc>
        <w:tc>
          <w:tcPr/>
          <w:p>
            <w:pPr>
              <w:pStyle w:val="Compact"/>
              <w:jc w:val="left"/>
            </w:pPr>
            <w:r>
              <w:t xml:space="preserve">On-site Carpenter labor supervision and finishing (sand, stain, lacquer – 3 coats)</w:t>
            </w:r>
          </w:p>
        </w:tc>
        <w:tc>
          <w:tcPr/>
          <w:p>
            <w:pPr>
              <w:pStyle w:val="Compact"/>
              <w:jc w:val="left"/>
            </w:pPr>
            <w:r>
              <w:t xml:space="preserve">Man-day</w:t>
            </w:r>
          </w:p>
        </w:tc>
        <w:tc>
          <w:tcPr/>
          <w:p>
            <w:pPr>
              <w:pStyle w:val="Compact"/>
              <w:jc w:val="left"/>
            </w:pPr>
            <w:r>
              <w:t xml:space="preserve">45</w:t>
            </w:r>
          </w:p>
        </w:tc>
        <w:tc>
          <w:tcPr/>
          <w:p>
            <w:pPr>
              <w:pStyle w:val="Compact"/>
              <w:jc w:val="left"/>
            </w:pPr>
            <w:r>
              <w:t xml:space="preserve">35.000</w:t>
            </w:r>
          </w:p>
        </w:tc>
        <w:tc>
          <w:tcPr/>
          <w:p>
            <w:pPr>
              <w:pStyle w:val="Compact"/>
              <w:jc w:val="left"/>
            </w:pPr>
            <w:r>
              <w:t xml:space="preserve">1,575.000</w:t>
            </w:r>
          </w:p>
        </w:tc>
      </w:tr>
      <w:tr>
        <w:tc>
          <w:tcPr/>
          <w:p>
            <w:pPr>
              <w:pStyle w:val="Compact"/>
              <w:jc w:val="left"/>
            </w:pPr>
            <w:r>
              <w:t xml:space="preserve">8</w:t>
            </w:r>
          </w:p>
        </w:tc>
        <w:tc>
          <w:tcPr/>
          <w:p>
            <w:pPr>
              <w:pStyle w:val="Compact"/>
              <w:jc w:val="left"/>
            </w:pPr>
            <w:r>
              <w:t xml:space="preserve">Wooden ceiling coffered panels, living room (cedar, 4.2m x 6.8m area)</w:t>
            </w:r>
          </w:p>
        </w:tc>
        <w:tc>
          <w:tcPr/>
          <w:p>
            <w:pPr>
              <w:pStyle w:val="Compact"/>
              <w:jc w:val="left"/>
            </w:pPr>
            <w:r>
              <w:t xml:space="preserve">Lot</w:t>
            </w:r>
          </w:p>
        </w:tc>
        <w:tc>
          <w:tcPr/>
          <w:p>
            <w:pPr>
              <w:pStyle w:val="Compact"/>
              <w:jc w:val="left"/>
            </w:pPr>
            <w:r>
              <w:t xml:space="preserve">1</w:t>
            </w:r>
          </w:p>
        </w:tc>
        <w:tc>
          <w:tcPr/>
          <w:p>
            <w:pPr>
              <w:pStyle w:val="Compact"/>
              <w:jc w:val="left"/>
            </w:pPr>
            <w:r>
              <w:t xml:space="preserve">5,600.000</w:t>
            </w:r>
          </w:p>
        </w:tc>
        <w:tc>
          <w:tcPr/>
          <w:p>
            <w:pPr>
              <w:pStyle w:val="Compact"/>
              <w:jc w:val="left"/>
            </w:pPr>
            <w:r>
              <w:t xml:space="preserve">5,600.000</w:t>
            </w:r>
          </w:p>
        </w:tc>
      </w:tr>
      <w:tr>
        <w:tc>
          <w:tcPr>
            <w:gridSpan w:val="5"/>
          </w:tcPr>
          <w:p>
            <w:pPr>
              <w:pStyle w:val="Compact"/>
              <w:jc w:val="right"/>
            </w:pPr>
            <w:r>
              <w:t xml:space="preserve">Subtotal</w:t>
            </w:r>
          </w:p>
        </w:tc>
        <w:tc>
          <w:tcPr/>
          <w:p>
            <w:pPr>
              <w:pStyle w:val="Compact"/>
              <w:jc w:val="left"/>
            </w:pPr>
            <w:r>
              <w:t xml:space="preserve">31,115.000</w:t>
            </w:r>
          </w:p>
        </w:tc>
      </w:tr>
      <w:tr>
        <w:tc>
          <w:tcPr>
            <w:gridSpan w:val="5"/>
          </w:tcPr>
          <w:p>
            <w:pPr>
              <w:pStyle w:val="Compact"/>
              <w:jc w:val="right"/>
            </w:pPr>
            <w:r>
              <w:t xml:space="preserve">VAT (5% – Kuwait)</w:t>
            </w:r>
          </w:p>
        </w:tc>
        <w:tc>
          <w:tcPr/>
          <w:p>
            <w:pPr>
              <w:pStyle w:val="Compact"/>
              <w:jc w:val="left"/>
            </w:pPr>
            <w:r>
              <w:t xml:space="preserve">1,555.750</w:t>
            </w:r>
          </w:p>
        </w:tc>
      </w:tr>
      <w:tr>
        <w:tc>
          <w:tcPr>
            <w:gridSpan w:val="5"/>
          </w:tcPr>
          <w:p>
            <w:pPr>
              <w:pStyle w:val="Compact"/>
              <w:jc w:val="right"/>
            </w:pPr>
            <w:r>
              <w:t xml:space="preserve">TOTAL AMOUNT (KWD)</w:t>
            </w:r>
          </w:p>
        </w:tc>
        <w:tc>
          <w:tcPr/>
          <w:p>
            <w:pPr>
              <w:pStyle w:val="Compact"/>
              <w:jc w:val="left"/>
            </w:pPr>
            <w:r>
              <w:t xml:space="preserve">32,670.750</w:t>
            </w:r>
          </w:p>
        </w:tc>
      </w:tr>
    </w:tbl>
    <w:p>
      <w:pPr>
        <w:pStyle w:val="BodyText"/>
      </w:pPr>
      <w:r>
        <w:t xml:space="preserve">4. Delivery and Installation Schedule</w:t>
      </w:r>
    </w:p>
    <w:p>
      <w:pPr>
        <w:pStyle w:val="BodyText"/>
      </w:pPr>
      <w:r>
        <w:t xml:space="preserve">All fabricated woodwork items shall be delivered to the project site in</w:t>
      </w:r>
      <w:r>
        <w:t xml:space="preserve"> </w:t>
      </w:r>
      <w:r>
        <w:t xml:space="preserve">Kuwait Kuwait City</w:t>
      </w:r>
      <w:r>
        <w:t xml:space="preserve"> </w:t>
      </w:r>
      <w:r>
        <w:t xml:space="preserve">(Salmiya District, Block 7, Street 12, Plot 45) no later than</w:t>
      </w:r>
      <w:r>
        <w:t xml:space="preserve"> </w:t>
      </w:r>
      <w:r>
        <w:rPr>
          <w:bCs/>
          <w:b/>
        </w:rPr>
        <w:t xml:space="preserve">30 June 2025</w:t>
      </w:r>
      <w:r>
        <w:t xml:space="preserve">. The</w:t>
      </w:r>
      <w:r>
        <w:t xml:space="preserve"> </w:t>
      </w:r>
      <w:r>
        <w:t xml:space="preserve">Carpenter</w:t>
      </w:r>
      <w:r>
        <w:t xml:space="preserve"> </w:t>
      </w:r>
      <w:r>
        <w:t xml:space="preserve">team shall commence on-site installation on</w:t>
      </w:r>
      <w:r>
        <w:t xml:space="preserve"> </w:t>
      </w:r>
      <w:r>
        <w:rPr>
          <w:bCs/>
          <w:b/>
        </w:rPr>
        <w:t xml:space="preserve">1 July 2025</w:t>
      </w:r>
      <w:r>
        <w:t xml:space="preserve"> </w:t>
      </w:r>
      <w:r>
        <w:t xml:space="preserve">and complete all works, including final finishing and cleanup, by</w:t>
      </w:r>
      <w:r>
        <w:t xml:space="preserve"> </w:t>
      </w:r>
      <w:r>
        <w:rPr>
          <w:bCs/>
          <w:b/>
        </w:rPr>
        <w:t xml:space="preserve">20 July 2025</w:t>
      </w:r>
      <w:r>
        <w:t xml:space="preserve">. The</w:t>
      </w:r>
      <w:r>
        <w:t xml:space="preserve"> </w:t>
      </w:r>
      <w:r>
        <w:t xml:space="preserve">Carpenter</w:t>
      </w:r>
      <w:r>
        <w:t xml:space="preserve"> </w:t>
      </w:r>
      <w:r>
        <w:t xml:space="preserve">is required to coordinate with the site engineer and the main contractor's schedule. Any delay beyond the agreed completion date shall incur a penalty of 0.5% of the total</w:t>
      </w:r>
      <w:r>
        <w:t xml:space="preserve"> </w:t>
      </w:r>
      <w:r>
        <w:t xml:space="preserve">Purchase Order</w:t>
      </w:r>
      <w:r>
        <w:t xml:space="preserve"> </w:t>
      </w:r>
      <w:r>
        <w:t xml:space="preserve">value per calendar day, capped at 10% of the total value.</w:t>
      </w:r>
    </w:p>
    <w:p>
      <w:pPr>
        <w:pStyle w:val="BodyText"/>
      </w:pPr>
      <w:r>
        <w:t xml:space="preserve">5. Terms and Conditions</w:t>
      </w:r>
    </w:p>
    <w:p>
      <w:pPr>
        <w:numPr>
          <w:ilvl w:val="0"/>
          <w:numId w:val="1001"/>
        </w:numPr>
        <w:pStyle w:val="Compact"/>
      </w:pPr>
      <w:r>
        <w:t xml:space="preserve">This</w:t>
      </w:r>
      <w:r>
        <w:t xml:space="preserve"> </w:t>
      </w:r>
      <w:r>
        <w:t xml:space="preserve">Purchase Order</w:t>
      </w:r>
      <w:r>
        <w:t xml:space="preserve"> </w:t>
      </w:r>
      <w:r>
        <w:t xml:space="preserve">constitutes a binding agreement between Al-Nakheel Construction &amp; Interiors LLC (Buyer) and Al-Rashid Carpentry &amp; Woodwork Services (Supplier/Carpenter) upon signature by both parties.</w:t>
      </w:r>
    </w:p>
    <w:p>
      <w:pPr>
        <w:numPr>
          <w:ilvl w:val="0"/>
          <w:numId w:val="1001"/>
        </w:numPr>
        <w:pStyle w:val="Compact"/>
      </w:pPr>
      <w:r>
        <w:t xml:space="preserve">All materials used by the</w:t>
      </w:r>
      <w:r>
        <w:t xml:space="preserve"> </w:t>
      </w:r>
      <w:r>
        <w:t xml:space="preserve">Carpenter</w:t>
      </w:r>
      <w:r>
        <w:t xml:space="preserve"> </w:t>
      </w:r>
      <w:r>
        <w:t xml:space="preserve">must be of premium grade, free from warping, knots, or insect damage. The</w:t>
      </w:r>
      <w:r>
        <w:t xml:space="preserve"> </w:t>
      </w:r>
      <w:r>
        <w:t xml:space="preserve">Carpenter</w:t>
      </w:r>
      <w:r>
        <w:t xml:space="preserve"> </w:t>
      </w:r>
      <w:r>
        <w:t xml:space="preserve">shall provide material certificates and FSC (Forest Stewardship Council) compliance documentation upon request.</w:t>
      </w:r>
    </w:p>
    <w:p>
      <w:pPr>
        <w:numPr>
          <w:ilvl w:val="0"/>
          <w:numId w:val="1001"/>
        </w:numPr>
        <w:pStyle w:val="Compact"/>
      </w:pPr>
      <w:r>
        <w:t xml:space="preserve">Payment shall be made in three milestones: 30% upon acceptance of this</w:t>
      </w:r>
      <w:r>
        <w:t xml:space="preserve"> </w:t>
      </w:r>
      <w:r>
        <w:t xml:space="preserve">Purchase Order</w:t>
      </w:r>
      <w:r>
        <w:t xml:space="preserve">, 50% upon delivery and installation of all items at the</w:t>
      </w:r>
      <w:r>
        <w:t xml:space="preserve"> </w:t>
      </w:r>
      <w:r>
        <w:t xml:space="preserve">Kuwait Kuwait City</w:t>
      </w:r>
      <w:r>
        <w:t xml:space="preserve"> </w:t>
      </w:r>
      <w:r>
        <w:t xml:space="preserve">site, and 20% upon final inspection sign-off and handover.</w:t>
      </w:r>
    </w:p>
    <w:p>
      <w:pPr>
        <w:numPr>
          <w:ilvl w:val="0"/>
          <w:numId w:val="1001"/>
        </w:numPr>
        <w:pStyle w:val="Compact"/>
      </w:pPr>
      <w:r>
        <w:t xml:space="preserve">The</w:t>
      </w:r>
      <w:r>
        <w:t xml:space="preserve"> </w:t>
      </w:r>
      <w:r>
        <w:t xml:space="preserve">Carpenter</w:t>
      </w:r>
      <w:r>
        <w:t xml:space="preserve"> </w:t>
      </w:r>
      <w:r>
        <w:t xml:space="preserve">shall maintain full public liability insurance (minimum KWD 500,000) and workers' compensation coverage for all personnel working on-site in</w:t>
      </w:r>
      <w:r>
        <w:t xml:space="preserve"> </w:t>
      </w:r>
      <w:r>
        <w:t xml:space="preserve">Kuwait Kuwait City</w:t>
      </w:r>
      <w:r>
        <w:t xml:space="preserve"> </w:t>
      </w:r>
      <w:r>
        <w:t xml:space="preserve">throughout the duration of the contract.</w:t>
      </w:r>
    </w:p>
    <w:p>
      <w:pPr>
        <w:numPr>
          <w:ilvl w:val="0"/>
          <w:numId w:val="1001"/>
        </w:numPr>
        <w:pStyle w:val="Compact"/>
      </w:pPr>
      <w:r>
        <w:t xml:space="preserve">All workmanship shall carry a minimum 24-month warranty from the date of final acceptance. Any defects attributable to the</w:t>
      </w:r>
      <w:r>
        <w:t xml:space="preserve"> </w:t>
      </w:r>
      <w:r>
        <w:t xml:space="preserve">Carpenter</w:t>
      </w:r>
      <w:r>
        <w:t xml:space="preserve">'s workmanship or material selection must be rectified at no additional cost within 14 working days of written notice.</w:t>
      </w:r>
    </w:p>
    <w:p>
      <w:pPr>
        <w:numPr>
          <w:ilvl w:val="0"/>
          <w:numId w:val="1001"/>
        </w:numPr>
        <w:pStyle w:val="Compact"/>
      </w:pPr>
      <w:r>
        <w:t xml:space="preserve">The</w:t>
      </w:r>
      <w:r>
        <w:t xml:space="preserve"> </w:t>
      </w:r>
      <w:r>
        <w:t xml:space="preserve">Carpenter</w:t>
      </w:r>
      <w:r>
        <w:t xml:space="preserve"> </w:t>
      </w:r>
      <w:r>
        <w:t xml:space="preserve">shall adhere to all occupational health and safety regulations as mandated by the Ministry of Social Affairs in Kuwait. Personal protective equipment (PPE) is mandatory at all times on the</w:t>
      </w:r>
      <w:r>
        <w:t xml:space="preserve"> </w:t>
      </w:r>
      <w:r>
        <w:t xml:space="preserve">Kuwait Kuwait City</w:t>
      </w:r>
      <w:r>
        <w:t xml:space="preserve"> </w:t>
      </w:r>
      <w:r>
        <w:t xml:space="preserve">site.</w:t>
      </w:r>
    </w:p>
    <w:p>
      <w:pPr>
        <w:numPr>
          <w:ilvl w:val="0"/>
          <w:numId w:val="1001"/>
        </w:numPr>
        <w:pStyle w:val="Compact"/>
      </w:pPr>
      <w:r>
        <w:t xml:space="preserve">Any variation or change order to the scope of this</w:t>
      </w:r>
      <w:r>
        <w:t xml:space="preserve"> </w:t>
      </w:r>
      <w:r>
        <w:t xml:space="preserve">Purchase Order</w:t>
      </w:r>
      <w:r>
        <w:t xml:space="preserve"> </w:t>
      </w:r>
      <w:r>
        <w:t xml:space="preserve">must be approved in writing by the Buyer's project manager before execution. Verbal instructions shall not be binding.</w:t>
      </w:r>
    </w:p>
    <w:p>
      <w:pPr>
        <w:numPr>
          <w:ilvl w:val="0"/>
          <w:numId w:val="1001"/>
        </w:numPr>
        <w:pStyle w:val="Compact"/>
      </w:pPr>
      <w:r>
        <w:t xml:space="preserve">Governing law: The laws of the State of Kuwait. Any disputes arising from this</w:t>
      </w:r>
      <w:r>
        <w:t xml:space="preserve"> </w:t>
      </w:r>
      <w:r>
        <w:t xml:space="preserve">Purchase Order</w:t>
      </w:r>
      <w:r>
        <w:t xml:space="preserve"> </w:t>
      </w:r>
      <w:r>
        <w:t xml:space="preserve">shall be resolved through the Kuwait Commercial Courts in</w:t>
      </w:r>
      <w:r>
        <w:t xml:space="preserve"> </w:t>
      </w:r>
      <w:r>
        <w:t xml:space="preserve">Kuwait Kuwait City</w:t>
      </w:r>
      <w:r>
        <w:t xml:space="preserve">.</w:t>
      </w:r>
    </w:p>
    <w:p>
      <w:pPr>
        <w:numPr>
          <w:ilvl w:val="0"/>
          <w:numId w:val="1001"/>
        </w:numPr>
        <w:pStyle w:val="Compact"/>
      </w:pPr>
      <w:r>
        <w:t xml:space="preserve">The</w:t>
      </w:r>
      <w:r>
        <w:t xml:space="preserve"> </w:t>
      </w:r>
      <w:r>
        <w:t xml:space="preserve">Carpenter</w:t>
      </w:r>
      <w:r>
        <w:t xml:space="preserve"> </w:t>
      </w:r>
      <w:r>
        <w:t xml:space="preserve">shall not subcontract any portion of the work without prior written consent from the Buyer. All labor must be legally employed and hold valid work permits issued by the Kuwaiti authorities.</w:t>
      </w:r>
    </w:p>
    <w:p>
      <w:pPr>
        <w:pStyle w:val="FirstParagraph"/>
      </w:pPr>
      <w:r>
        <w:t xml:space="preserve">6. Acceptance and Authorization</w:t>
      </w:r>
    </w:p>
    <w:p>
      <w:pPr>
        <w:pStyle w:val="BodyText"/>
      </w:pPr>
      <w:r>
        <w:t xml:space="preserve">By signing below, both parties acknowledge and agree to all terms, conditions, and specifications set forth in this</w:t>
      </w:r>
      <w:r>
        <w:t xml:space="preserve"> </w:t>
      </w:r>
      <w:r>
        <w:t xml:space="preserve">Purchase Order</w:t>
      </w:r>
      <w:r>
        <w:t xml:space="preserve"> </w:t>
      </w:r>
      <w:r>
        <w:t xml:space="preserve">for the engagement of</w:t>
      </w:r>
      <w:r>
        <w:t xml:space="preserve"> </w:t>
      </w:r>
      <w:r>
        <w:t xml:space="preserve">Carpenter</w:t>
      </w:r>
      <w:r>
        <w:t xml:space="preserve"> </w:t>
      </w:r>
      <w:r>
        <w:t xml:space="preserve">services in</w:t>
      </w:r>
      <w:r>
        <w:t xml:space="preserve"> </w:t>
      </w:r>
      <w:r>
        <w:t xml:space="preserve">Kuwait Kuwait City</w:t>
      </w:r>
      <w:r>
        <w:t xml:space="preserve">. This document is valid for a period of 30 calendar days from the date of issue.</w:t>
      </w:r>
    </w:p>
    <w:p>
      <w:pPr>
        <w:pStyle w:val="BodyText"/>
      </w:pPr>
      <w:r>
        <w:rPr>
          <w:bCs/>
          <w:b/>
        </w:rPr>
        <w:t xml:space="preserve">For and on behalf of the Buyer:</w:t>
      </w:r>
    </w:p>
    <w:p>
      <w:pPr>
        <w:pStyle w:val="BodyText"/>
      </w:pPr>
      <w:r>
        <w:t xml:space="preserve">Al-Nakheel Construction &amp; Interiors LLC</w:t>
      </w:r>
    </w:p>
    <w:p>
      <w:pPr>
        <w:pStyle w:val="BodyText"/>
      </w:pPr>
      <w:r>
        <w:t xml:space="preserve">Name: Eng. Faisal Al-Mutawa</w:t>
      </w:r>
      <w:r>
        <w:br/>
      </w:r>
      <w:r>
        <w:t xml:space="preserve">Title: Procurement Director</w:t>
      </w:r>
      <w:r>
        <w:br/>
      </w:r>
      <w:r>
        <w:t xml:space="preserve">Signature &amp; Date: ______________________</w:t>
      </w:r>
    </w:p>
    <w:p>
      <w:pPr>
        <w:pStyle w:val="BodyText"/>
      </w:pPr>
      <w:r>
        <w:rPr>
          <w:bCs/>
          <w:b/>
        </w:rPr>
        <w:t xml:space="preserve">For and on behalf of the Supplier / Carpenter:</w:t>
      </w:r>
    </w:p>
    <w:p>
      <w:pPr>
        <w:pStyle w:val="BodyText"/>
      </w:pPr>
      <w:r>
        <w:t xml:space="preserve">Al-Rashid Carpentry &amp; Woodwork Services</w:t>
      </w:r>
    </w:p>
    <w:p>
      <w:pPr>
        <w:pStyle w:val="BodyText"/>
      </w:pPr>
      <w:r>
        <w:t xml:space="preserve">Name: Mr. Hassan Al-Rashid</w:t>
      </w:r>
      <w:r>
        <w:br/>
      </w:r>
      <w:r>
        <w:t xml:space="preserve">Title: Master Carpenter / Owner</w:t>
      </w:r>
      <w:r>
        <w:br/>
      </w:r>
      <w:r>
        <w:t xml:space="preserve">Signature &amp; Date: ______________________</w:t>
      </w:r>
    </w:p>
    <w:p>
      <w:pPr>
        <w:pStyle w:val="BodyText"/>
      </w:pPr>
      <w:r>
        <w:t xml:space="preserve">Purchase Order No. PO-KW-2025-0487 | Al-Nakheel Construction &amp; Interiors LLC | Kuwait Kuwait City, State of Kuwait</w:t>
      </w:r>
    </w:p>
    <w:p>
      <w:pPr>
        <w:pStyle w:val="BodyText"/>
      </w:pPr>
      <w:r>
        <w:t xml:space="preserve">This document is the property of Al-Nakheel Construction &amp; Interiors LLC. Unauthorized reproduction or distribution is prohibited.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Kuwait Kuwait City</dc:title>
  <dc:creator/>
  <dc:language>en</dc:language>
  <cp:keywords/>
  <dcterms:created xsi:type="dcterms:W3CDTF">2026-10-10T01:06:21Z</dcterms:created>
  <dcterms:modified xsi:type="dcterms:W3CDTF">2026-10-10T01:06:21Z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