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PO-ML-2025-04782</w:t>
      </w:r>
    </w:p>
    <w:p>
      <w:pPr>
        <w:pStyle w:val="BodyText"/>
      </w:pPr>
      <w:r>
        <w:t xml:space="preserve">Carpenter Services &amp; Timber Supply Contract</w:t>
      </w:r>
    </w:p>
    <w:p>
      <w:pPr>
        <w:pStyle w:val="BodyText"/>
      </w:pPr>
      <w:r>
        <w:t xml:space="preserve">Malaysia Kuala Lumpur | Federal Territory</w:t>
      </w:r>
    </w:p>
    <w:bookmarkEnd w:id="20"/>
    <w:p>
      <w:pPr>
        <w:pStyle w:val="BodyText"/>
      </w:pPr>
      <w:r>
        <w:rPr>
          <w:bCs/>
          <w:b/>
        </w:rPr>
        <w:t xml:space="preserve">Purchase Order No.:</w:t>
      </w:r>
      <w:r>
        <w:t xml:space="preserve"> </w:t>
      </w:r>
      <w:r>
        <w:t xml:space="preserve">PO-ML-2025-04782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Delivery Location:</w:t>
      </w:r>
      <w:r>
        <w:t xml:space="preserve"> </w:t>
      </w:r>
      <w:r>
        <w:t xml:space="preserve">Kuala Lumpur, Malaysia</w:t>
      </w:r>
    </w:p>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KL Premier Interiors Sdn. Bhd.</w:t>
      </w:r>
      <w:r>
        <w:br/>
      </w:r>
      <w:r>
        <w:rPr>
          <w:bCs/>
          <w:b/>
        </w:rPr>
        <w:t xml:space="preserve">Address:</w:t>
      </w:r>
      <w:r>
        <w:t xml:space="preserve"> </w:t>
      </w:r>
      <w:r>
        <w:t xml:space="preserve">Level 12, Menara KLCC, No. 12, Jalan P. Ramlee, 50250 Kuala Lumpur, Malaysia</w:t>
      </w:r>
      <w:r>
        <w:br/>
      </w:r>
      <w:r>
        <w:rPr>
          <w:bCs/>
          <w:b/>
        </w:rPr>
        <w:t xml:space="preserve">Registration No.:</w:t>
      </w:r>
      <w:r>
        <w:t xml:space="preserve"> </w:t>
      </w:r>
      <w:r>
        <w:t xml:space="preserve">201901045678 (K)</w:t>
      </w:r>
      <w:r>
        <w:br/>
      </w:r>
      <w:r>
        <w:rPr>
          <w:bCs/>
          <w:b/>
        </w:rPr>
        <w:t xml:space="preserve">Attention:</w:t>
      </w:r>
      <w:r>
        <w:t xml:space="preserve"> </w:t>
      </w:r>
      <w:r>
        <w:t xml:space="preserve">Mr. Tan Wei Ming, Project Director</w:t>
      </w:r>
      <w:r>
        <w:br/>
      </w:r>
      <w:r>
        <w:rPr>
          <w:bCs/>
          <w:b/>
        </w:rPr>
        <w:t xml:space="preserve">Email:</w:t>
      </w:r>
      <w:r>
        <w:t xml:space="preserve"> </w:t>
      </w:r>
      <w:r>
        <w:t xml:space="preserve">procurement@klpremierinteriors.my</w:t>
      </w:r>
      <w:r>
        <w:br/>
      </w:r>
      <w:r>
        <w:rPr>
          <w:bCs/>
          <w:b/>
        </w:rPr>
        <w:t xml:space="preserve">Phone:</w:t>
      </w:r>
      <w:r>
        <w:t xml:space="preserve"> </w:t>
      </w:r>
      <w:r>
        <w:t xml:space="preserve">+60 3-2181 4567</w:t>
      </w:r>
    </w:p>
    <w:bookmarkEnd w:id="21"/>
    <w:bookmarkStart w:id="22" w:name="supplier-carpenter-contractor"/>
    <w:p>
      <w:pPr>
        <w:pStyle w:val="Heading3"/>
      </w:pPr>
      <w:r>
        <w:t xml:space="preserve">Supplier (Carpenter Contractor)</w:t>
      </w:r>
    </w:p>
    <w:p>
      <w:pPr>
        <w:pStyle w:val="FirstParagraph"/>
      </w:pPr>
      <w:r>
        <w:rPr>
          <w:bCs/>
          <w:b/>
        </w:rPr>
        <w:t xml:space="preserve">Company:</w:t>
      </w:r>
      <w:r>
        <w:t xml:space="preserve"> </w:t>
      </w:r>
      <w:r>
        <w:t xml:space="preserve">Nusantara Carpenter &amp; Woodworks Enterprise</w:t>
      </w:r>
      <w:r>
        <w:br/>
      </w:r>
      <w:r>
        <w:rPr>
          <w:bCs/>
          <w:b/>
        </w:rPr>
        <w:t xml:space="preserve">Address:</w:t>
      </w:r>
      <w:r>
        <w:t xml:space="preserve"> </w:t>
      </w:r>
      <w:r>
        <w:t xml:space="preserve">Lot 8, Jalan Ipoh, Taman Tun Sardon, 50400 Kuala Lumpur, Malaysia</w:t>
      </w:r>
      <w:r>
        <w:br/>
      </w:r>
      <w:r>
        <w:rPr>
          <w:bCs/>
          <w:b/>
        </w:rPr>
        <w:t xml:space="preserve">Registration No.:</w:t>
      </w:r>
      <w:r>
        <w:t xml:space="preserve"> </w:t>
      </w:r>
      <w:r>
        <w:t xml:space="preserve">201501234567 (K)</w:t>
      </w:r>
      <w:r>
        <w:br/>
      </w:r>
      <w:r>
        <w:rPr>
          <w:bCs/>
          <w:b/>
        </w:rPr>
        <w:t xml:space="preserve">Attention:</w:t>
      </w:r>
      <w:r>
        <w:t xml:space="preserve"> </w:t>
      </w:r>
      <w:r>
        <w:t xml:space="preserve">En. Rajesh Kumar, Master Carpenter &amp; Owner</w:t>
      </w:r>
      <w:r>
        <w:br/>
      </w:r>
      <w:r>
        <w:rPr>
          <w:bCs/>
          <w:b/>
        </w:rPr>
        <w:t xml:space="preserve">Email:</w:t>
      </w:r>
      <w:r>
        <w:t xml:space="preserve"> </w:t>
      </w:r>
      <w:r>
        <w:t xml:space="preserve">info@nusantaracarpenter.my</w:t>
      </w:r>
      <w:r>
        <w:br/>
      </w:r>
      <w:r>
        <w:rPr>
          <w:bCs/>
          <w:b/>
        </w:rPr>
        <w:t xml:space="preserve">Phone:</w:t>
      </w:r>
      <w:r>
        <w:t xml:space="preserve"> </w:t>
      </w:r>
      <w:r>
        <w:t xml:space="preserve">+60 3-4256 7890</w:t>
      </w:r>
    </w:p>
    <w:bookmarkEnd w:id="22"/>
    <w:p>
      <w:pPr>
        <w:pStyle w:val="BodyText"/>
      </w:pPr>
      <w:r>
        <w:t xml:space="preserve">Scope of Work &amp; Line Items</w:t>
      </w:r>
    </w:p>
    <w:p>
      <w:pPr>
        <w:pStyle w:val="BodyText"/>
      </w:pPr>
      <w:r>
        <w:t xml:space="preserve">This</w:t>
      </w:r>
      <w:r>
        <w:t xml:space="preserve"> </w:t>
      </w:r>
      <w:r>
        <w:t xml:space="preserve">Purchase Order</w:t>
      </w:r>
      <w:r>
        <w:t xml:space="preserve"> </w:t>
      </w:r>
      <w:r>
        <w:t xml:space="preserve">is issued by KL Premier Interiors Sdn. Bhd. to engage the services of a qualified</w:t>
      </w:r>
      <w:r>
        <w:t xml:space="preserve"> </w:t>
      </w:r>
      <w:r>
        <w:t xml:space="preserve">Carpenter</w:t>
      </w:r>
      <w:r>
        <w:t xml:space="preserve"> </w:t>
      </w:r>
      <w:r>
        <w:t xml:space="preserve">and his team for the execution of custom woodworking, cabinetry, and structural timber works at the project site located in</w:t>
      </w:r>
      <w:r>
        <w:t xml:space="preserve"> </w:t>
      </w:r>
      <w:r>
        <w:t xml:space="preserve">Malaysia Kuala Lumpur</w:t>
      </w:r>
      <w:r>
        <w:t xml:space="preserve">. The</w:t>
      </w:r>
      <w:r>
        <w:t xml:space="preserve"> </w:t>
      </w:r>
      <w:r>
        <w:t xml:space="preserve">Carpenter</w:t>
      </w:r>
      <w:r>
        <w:t xml:space="preserve"> </w:t>
      </w:r>
      <w:r>
        <w:t xml:space="preserve">shall provide all labour, tools, and specified materials as detailed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Carpenter Work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Master Carpenter labour – custom built-in wardrobe (oak veneer, 3.2m x 2.4m x 0.6m) including hardware installation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Carpenter team (4 workers) – kitchen cabinetry and countertop framing (teak wood, 5.8m linear)</w:t>
            </w:r>
          </w:p>
        </w:tc>
        <w:tc>
          <w:tcPr/>
          <w:p>
            <w:pPr>
              <w:pStyle w:val="Compact"/>
              <w:jc w:val="left"/>
            </w:pPr>
            <w:r>
              <w:t xml:space="preserve">5.8</w:t>
            </w:r>
          </w:p>
        </w:tc>
        <w:tc>
          <w:tcPr/>
          <w:p>
            <w:pPr>
              <w:pStyle w:val="Compact"/>
              <w:jc w:val="left"/>
            </w:pPr>
            <w:r>
              <w:t xml:space="preserve">Linear m</w:t>
            </w:r>
          </w:p>
        </w:tc>
        <w:tc>
          <w:tcPr/>
          <w:p>
            <w:pPr>
              <w:pStyle w:val="Compact"/>
              <w:jc w:val="left"/>
            </w:pPr>
            <w:r>
              <w:t xml:space="preserve">1,850.00</w:t>
            </w:r>
          </w:p>
        </w:tc>
        <w:tc>
          <w:tcPr/>
          <w:p>
            <w:pPr>
              <w:pStyle w:val="Compact"/>
              <w:jc w:val="left"/>
            </w:pPr>
            <w:r>
              <w:t xml:space="preserve">10,730.00</w:t>
            </w:r>
          </w:p>
        </w:tc>
        <w:tc>
          <w:tcPr/>
          <w:p>
            <w:pPr>
              <w:pStyle w:val="Compact"/>
              <w:jc w:val="left"/>
            </w:pPr>
            <w:r>
              <w:t xml:space="preserve">Week 2-3</w:t>
            </w:r>
          </w:p>
        </w:tc>
      </w:tr>
      <w:tr>
        <w:tc>
          <w:tcPr/>
          <w:p>
            <w:pPr>
              <w:pStyle w:val="Compact"/>
              <w:jc w:val="left"/>
            </w:pPr>
            <w:r>
              <w:t xml:space="preserve">3</w:t>
            </w:r>
          </w:p>
        </w:tc>
        <w:tc>
          <w:tcPr/>
          <w:p>
            <w:pPr>
              <w:pStyle w:val="Compact"/>
              <w:jc w:val="left"/>
            </w:pPr>
            <w:r>
              <w:t xml:space="preserve">Carpenter labour – structural timber framing for mezzanine floor (Meranti hardwood, 45 sqm)</w:t>
            </w:r>
          </w:p>
        </w:tc>
        <w:tc>
          <w:tcPr/>
          <w:p>
            <w:pPr>
              <w:pStyle w:val="Compact"/>
              <w:jc w:val="left"/>
            </w:pPr>
            <w:r>
              <w:t xml:space="preserve">45</w:t>
            </w:r>
          </w:p>
        </w:tc>
        <w:tc>
          <w:tcPr/>
          <w:p>
            <w:pPr>
              <w:pStyle w:val="Compact"/>
              <w:jc w:val="left"/>
            </w:pPr>
            <w:r>
              <w:t xml:space="preserve">Sqm</w:t>
            </w:r>
          </w:p>
        </w:tc>
        <w:tc>
          <w:tcPr/>
          <w:p>
            <w:pPr>
              <w:pStyle w:val="Compact"/>
              <w:jc w:val="left"/>
            </w:pPr>
            <w:r>
              <w:t xml:space="preserve">320.00</w:t>
            </w:r>
          </w:p>
        </w:tc>
        <w:tc>
          <w:tcPr/>
          <w:p>
            <w:pPr>
              <w:pStyle w:val="Compact"/>
              <w:jc w:val="left"/>
            </w:pPr>
            <w:r>
              <w:t xml:space="preserve">14,400.00</w:t>
            </w:r>
          </w:p>
        </w:tc>
        <w:tc>
          <w:tcPr/>
          <w:p>
            <w:pPr>
              <w:pStyle w:val="Compact"/>
              <w:jc w:val="left"/>
            </w:pPr>
            <w:r>
              <w:t xml:space="preserve">Week 3-4</w:t>
            </w:r>
          </w:p>
        </w:tc>
      </w:tr>
      <w:tr>
        <w:tc>
          <w:tcPr/>
          <w:p>
            <w:pPr>
              <w:pStyle w:val="Compact"/>
              <w:jc w:val="left"/>
            </w:pPr>
            <w:r>
              <w:t xml:space="preserve">4</w:t>
            </w:r>
          </w:p>
        </w:tc>
        <w:tc>
          <w:tcPr/>
          <w:p>
            <w:pPr>
              <w:pStyle w:val="Compact"/>
              <w:jc w:val="left"/>
            </w:pPr>
            <w:r>
              <w:t xml:space="preserve">Custom Carpenter-made bookshelf and display units (MDF with walnut finish, 8 units)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2,200.00</w:t>
            </w:r>
          </w:p>
        </w:tc>
        <w:tc>
          <w:tcPr/>
          <w:p>
            <w:pPr>
              <w:pStyle w:val="Compact"/>
              <w:jc w:val="left"/>
            </w:pPr>
            <w:r>
              <w:t xml:space="preserve">17,600.00</w:t>
            </w:r>
          </w:p>
        </w:tc>
        <w:tc>
          <w:tcPr/>
          <w:p>
            <w:pPr>
              <w:pStyle w:val="Compact"/>
              <w:jc w:val="left"/>
            </w:pPr>
            <w:r>
              <w:t xml:space="preserve">Week 4-5</w:t>
            </w:r>
          </w:p>
        </w:tc>
      </w:tr>
      <w:tr>
        <w:tc>
          <w:tcPr/>
          <w:p>
            <w:pPr>
              <w:pStyle w:val="Compact"/>
              <w:jc w:val="left"/>
            </w:pPr>
            <w:r>
              <w:t xml:space="preserve">5</w:t>
            </w:r>
          </w:p>
        </w:tc>
        <w:tc>
          <w:tcPr/>
          <w:p>
            <w:pPr>
              <w:pStyle w:val="Compact"/>
              <w:jc w:val="left"/>
            </w:pPr>
            <w:r>
              <w:t xml:space="preserve">Carpenter finishing – sanding, staining, and polyurethane coating for all timber surfaces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Week 5</w:t>
            </w:r>
          </w:p>
        </w:tc>
      </w:tr>
      <w:tr>
        <w:tc>
          <w:tcPr/>
          <w:p>
            <w:pPr>
              <w:pStyle w:val="Compact"/>
              <w:jc w:val="left"/>
            </w:pPr>
            <w:r>
              <w:t xml:space="preserve">6</w:t>
            </w:r>
          </w:p>
        </w:tc>
        <w:tc>
          <w:tcPr/>
          <w:p>
            <w:pPr>
              <w:pStyle w:val="Compact"/>
              <w:jc w:val="left"/>
            </w:pPr>
            <w:r>
              <w:t xml:space="preserve">Timber materials supply – Grade A Meranti and Teak lumber (as per BOQ attached)</w:t>
            </w:r>
          </w:p>
        </w:tc>
        <w:tc>
          <w:tcPr/>
          <w:p>
            <w:pPr>
              <w:pStyle w:val="Compact"/>
              <w:jc w:val="left"/>
            </w:pPr>
            <w:r>
              <w:t xml:space="preserve">1</w:t>
            </w:r>
          </w:p>
        </w:tc>
        <w:tc>
          <w:tcPr/>
          <w:p>
            <w:pPr>
              <w:pStyle w:val="Compact"/>
              <w:jc w:val="left"/>
            </w:pPr>
            <w:r>
              <w:t xml:space="preserve">Lot</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Week 1</w:t>
            </w:r>
          </w:p>
        </w:tc>
      </w:tr>
      <w:tr>
        <w:tc>
          <w:tcPr/>
          <w:p>
            <w:pPr>
              <w:pStyle w:val="Compact"/>
              <w:jc w:val="left"/>
            </w:pPr>
            <w:r>
              <w:t xml:space="preserve">7</w:t>
            </w:r>
          </w:p>
        </w:tc>
        <w:tc>
          <w:tcPr/>
          <w:p>
            <w:pPr>
              <w:pStyle w:val="Compact"/>
              <w:jc w:val="left"/>
            </w:pPr>
            <w:r>
              <w:t xml:space="preserve">Carpenter on-site supervision and quality assurance (full project duration, 5 weeks)</w:t>
            </w:r>
          </w:p>
        </w:tc>
        <w:tc>
          <w:tcPr/>
          <w:p>
            <w:pPr>
              <w:pStyle w:val="Compact"/>
              <w:jc w:val="left"/>
            </w:pPr>
            <w:r>
              <w:t xml:space="preserve">5</w:t>
            </w:r>
          </w:p>
        </w:tc>
        <w:tc>
          <w:tcPr/>
          <w:p>
            <w:pPr>
              <w:pStyle w:val="Compact"/>
              <w:jc w:val="left"/>
            </w:pPr>
            <w:r>
              <w:t xml:space="preserve">Weeks</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Continuous</w:t>
            </w:r>
          </w:p>
        </w:tc>
      </w:tr>
      <w:tr>
        <w:tc>
          <w:tcPr/>
          <w:p>
            <w:pPr>
              <w:pStyle w:val="Compact"/>
              <w:jc w:val="left"/>
            </w:pPr>
            <w:r>
              <w:t xml:space="preserve">8</w:t>
            </w:r>
          </w:p>
        </w:tc>
        <w:tc>
          <w:tcPr/>
          <w:p>
            <w:pPr>
              <w:pStyle w:val="Compact"/>
              <w:jc w:val="left"/>
            </w:pPr>
            <w:r>
              <w:t xml:space="preserve">Waste removal, site cleanup, and final handover of Carpenter 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Week 5</w:t>
            </w:r>
          </w:p>
        </w:tc>
      </w:tr>
      <w:tr>
        <w:tc>
          <w:tcPr>
            <w:gridSpan w:val="5"/>
          </w:tcPr>
          <w:p>
            <w:pPr>
              <w:pStyle w:val="Compact"/>
              <w:jc w:val="right"/>
            </w:pPr>
            <w:r>
              <w:t xml:space="preserve">Subtotal:</w:t>
            </w:r>
          </w:p>
        </w:tc>
        <w:tc>
          <w:tcPr/>
          <w:p>
            <w:pPr>
              <w:pStyle w:val="Compact"/>
              <w:jc w:val="left"/>
            </w:pPr>
            <w:r>
              <w:t xml:space="preserve">93,130.00</w:t>
            </w:r>
          </w:p>
        </w:tc>
        <w:tc>
          <w:tcPr/>
          <w:p>
            <w:pPr>
              <w:pStyle w:val="Compact"/>
            </w:pPr>
          </w:p>
        </w:tc>
      </w:tr>
      <w:tr>
        <w:tc>
          <w:tcPr>
            <w:gridSpan w:val="5"/>
          </w:tcPr>
          <w:p>
            <w:pPr>
              <w:pStyle w:val="Compact"/>
              <w:jc w:val="right"/>
            </w:pPr>
            <w:r>
              <w:t xml:space="preserve">Sales Tax (SST) @ 6%:</w:t>
            </w:r>
          </w:p>
        </w:tc>
        <w:tc>
          <w:tcPr/>
          <w:p>
            <w:pPr>
              <w:pStyle w:val="Compact"/>
              <w:jc w:val="left"/>
            </w:pPr>
            <w:r>
              <w:t xml:space="preserve">5,587.80</w:t>
            </w:r>
          </w:p>
        </w:tc>
        <w:tc>
          <w:tcPr/>
          <w:p>
            <w:pPr>
              <w:pStyle w:val="Compact"/>
            </w:pPr>
          </w:p>
        </w:tc>
      </w:tr>
      <w:tr>
        <w:tc>
          <w:tcPr>
            <w:gridSpan w:val="5"/>
          </w:tcPr>
          <w:p>
            <w:pPr>
              <w:pStyle w:val="Compact"/>
              <w:jc w:val="right"/>
            </w:pPr>
            <w:r>
              <w:t xml:space="preserve">TOTAL AMOUNT DUE (MYR):</w:t>
            </w:r>
          </w:p>
        </w:tc>
        <w:tc>
          <w:tcPr/>
          <w:p>
            <w:pPr>
              <w:pStyle w:val="Compact"/>
              <w:jc w:val="left"/>
            </w:pPr>
            <w:r>
              <w:t xml:space="preserve">98,717.80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Purchaser and the</w:t>
      </w:r>
      <w:r>
        <w:t xml:space="preserve"> </w:t>
      </w:r>
      <w:r>
        <w:t xml:space="preserve">Carpenter</w:t>
      </w:r>
      <w:r>
        <w:t xml:space="preserve"> </w:t>
      </w:r>
      <w:r>
        <w:t xml:space="preserve">contractor upon signature by both parties. All work shall be performed in accordance with the Malaysian Building and Construction Authority (CIDB) standards and local regulations applicable in</w:t>
      </w:r>
      <w:r>
        <w:t xml:space="preserve"> </w:t>
      </w:r>
      <w:r>
        <w:t xml:space="preserve">Malaysia Kuala Lumpur</w:t>
      </w:r>
      <w:r>
        <w:t xml:space="preserve">.</w:t>
      </w:r>
    </w:p>
    <w:p>
      <w:pPr>
        <w:numPr>
          <w:ilvl w:val="0"/>
          <w:numId w:val="1001"/>
        </w:numPr>
        <w:pStyle w:val="Compact"/>
      </w:pPr>
      <w:r>
        <w:t xml:space="preserve">The</w:t>
      </w:r>
      <w:r>
        <w:t xml:space="preserve"> </w:t>
      </w:r>
      <w:r>
        <w:t xml:space="preserve">Carpenter</w:t>
      </w:r>
      <w:r>
        <w:t xml:space="preserve"> </w:t>
      </w:r>
      <w:r>
        <w:t xml:space="preserve">shall ensure that all timber materials used are sourced from certified sustainable forestry operations in compliance with the Malaysian Forestry Department's regulations. All timber shall be free from termites, fungal decay, and structural defects.</w:t>
      </w:r>
    </w:p>
    <w:p>
      <w:pPr>
        <w:numPr>
          <w:ilvl w:val="0"/>
          <w:numId w:val="1001"/>
        </w:numPr>
        <w:pStyle w:val="Compact"/>
      </w:pPr>
      <w:r>
        <w:t xml:space="preserve">Payment shall be made in three milestones: 40% upon acceptance of this</w:t>
      </w:r>
      <w:r>
        <w:t xml:space="preserve"> </w:t>
      </w:r>
      <w:r>
        <w:t xml:space="preserve">Purchase Order</w:t>
      </w:r>
      <w:r>
        <w:t xml:space="preserve"> </w:t>
      </w:r>
      <w:r>
        <w:t xml:space="preserve">and commencement of work, 40% upon completion of all structural and cabinetry works, and 20% upon final inspection, sign-off, and handover at the</w:t>
      </w:r>
      <w:r>
        <w:t xml:space="preserve"> </w:t>
      </w:r>
      <w:r>
        <w:t xml:space="preserve">Malaysia Kuala Lumpur</w:t>
      </w:r>
      <w:r>
        <w:t xml:space="preserve"> </w:t>
      </w:r>
      <w:r>
        <w:t xml:space="preserve">project site.</w:t>
      </w:r>
    </w:p>
    <w:p>
      <w:pPr>
        <w:numPr>
          <w:ilvl w:val="0"/>
          <w:numId w:val="1001"/>
        </w:numPr>
        <w:pStyle w:val="Compact"/>
      </w:pPr>
      <w:r>
        <w:t xml:space="preserve">The</w:t>
      </w:r>
      <w:r>
        <w:t xml:space="preserve"> </w:t>
      </w:r>
      <w:r>
        <w:t xml:space="preserve">Carpenter</w:t>
      </w:r>
      <w:r>
        <w:t xml:space="preserve"> </w:t>
      </w:r>
      <w:r>
        <w:t xml:space="preserve">is responsible for providing all necessary tools, safety equipment, and personal protective gear for his team. All workers must comply with the Occupational Safety and Health Act 1994 (OSHA) as enforced in</w:t>
      </w:r>
      <w:r>
        <w:t xml:space="preserve"> </w:t>
      </w:r>
      <w:r>
        <w:t xml:space="preserve">Malaysia Kuala Lumpur</w:t>
      </w:r>
      <w:r>
        <w:t xml:space="preserve">.</w:t>
      </w:r>
    </w:p>
    <w:p>
      <w:pPr>
        <w:numPr>
          <w:ilvl w:val="0"/>
          <w:numId w:val="1001"/>
        </w:numPr>
        <w:pStyle w:val="Compact"/>
      </w:pPr>
      <w:r>
        <w:t xml:space="preserve">Any variation or change order to the scope of work outlined in this</w:t>
      </w:r>
      <w:r>
        <w:t xml:space="preserve"> </w:t>
      </w:r>
      <w:r>
        <w:t xml:space="preserve">Purchase Order</w:t>
      </w:r>
      <w:r>
        <w:t xml:space="preserve"> </w:t>
      </w:r>
      <w:r>
        <w:t xml:space="preserve">must be approved in writing by the Project Director of KL Premier Interiors Sdn. Bhd. before execution. Unauthorised changes will not be compensated.</w:t>
      </w:r>
    </w:p>
    <w:p>
      <w:pPr>
        <w:numPr>
          <w:ilvl w:val="0"/>
          <w:numId w:val="1001"/>
        </w:numPr>
        <w:pStyle w:val="Compact"/>
      </w:pPr>
      <w:r>
        <w:t xml:space="preserve">The</w:t>
      </w:r>
      <w:r>
        <w:t xml:space="preserve"> </w:t>
      </w:r>
      <w:r>
        <w:t xml:space="preserve">Carpenter</w:t>
      </w:r>
      <w:r>
        <w:t xml:space="preserve"> </w:t>
      </w:r>
      <w:r>
        <w:t xml:space="preserve">shall maintain a minimum of 4 skilled workers on-site during working hours (Monday to Saturday, 8:00 AM to 6:00 PM) at the designated location in</w:t>
      </w:r>
      <w:r>
        <w:t xml:space="preserve"> </w:t>
      </w:r>
      <w:r>
        <w:t xml:space="preserve">Malaysia Kuala Lumpur</w:t>
      </w:r>
      <w:r>
        <w:t xml:space="preserve">. Working hours shall comply with the Employment Act 1955 of Malaysia.</w:t>
      </w:r>
    </w:p>
    <w:p>
      <w:pPr>
        <w:numPr>
          <w:ilvl w:val="0"/>
          <w:numId w:val="1001"/>
        </w:numPr>
        <w:pStyle w:val="Compact"/>
      </w:pPr>
      <w:r>
        <w:t xml:space="preserve">A warranty period of twelve (12) months shall apply to all</w:t>
      </w:r>
      <w:r>
        <w:t xml:space="preserve"> </w:t>
      </w:r>
      <w:r>
        <w:t xml:space="preserve">Carpenter</w:t>
      </w:r>
      <w:r>
        <w:t xml:space="preserve"> </w:t>
      </w:r>
      <w:r>
        <w:t xml:space="preserve">works from the date of final handover. During this period, the</w:t>
      </w:r>
      <w:r>
        <w:t xml:space="preserve"> </w:t>
      </w:r>
      <w:r>
        <w:t xml:space="preserve">Carpenter</w:t>
      </w:r>
      <w:r>
        <w:t xml:space="preserve"> </w:t>
      </w:r>
      <w:r>
        <w:t xml:space="preserve">shall rectify any defects in workmanship or materials at no additional cost to the Purchaser.</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under the Malaysian Mediation Centre. If unresolved, matters shall be referred to the courts of competent jurisdiction in</w:t>
      </w:r>
      <w:r>
        <w:t xml:space="preserve"> </w:t>
      </w:r>
      <w:r>
        <w:t xml:space="preserve">Malaysia Kuala Lumpur</w:t>
      </w:r>
      <w:r>
        <w:t xml:space="preserve">.</w:t>
      </w:r>
    </w:p>
    <w:p>
      <w:pPr>
        <w:numPr>
          <w:ilvl w:val="0"/>
          <w:numId w:val="1001"/>
        </w:numPr>
        <w:pStyle w:val="Compact"/>
      </w:pPr>
      <w:r>
        <w:t xml:space="preserve">The</w:t>
      </w:r>
      <w:r>
        <w:t xml:space="preserve"> </w:t>
      </w:r>
      <w:r>
        <w:t xml:space="preserve">Carpenter</w:t>
      </w:r>
      <w:r>
        <w:t xml:space="preserve"> </w:t>
      </w:r>
      <w:r>
        <w:t xml:space="preserve">shall carry valid public liability insurance of not less than MYR 2,000,000 for the duration of the project. Proof of insurance shall be submitted prior to commencement of work.</w:t>
      </w:r>
    </w:p>
    <w:p>
      <w:pPr>
        <w:numPr>
          <w:ilvl w:val="0"/>
          <w:numId w:val="1001"/>
        </w:numPr>
        <w:pStyle w:val="Compact"/>
      </w:pPr>
      <w:r>
        <w:t xml:space="preserve">All deliverables under this</w:t>
      </w:r>
      <w:r>
        <w:t xml:space="preserve"> </w:t>
      </w:r>
      <w:r>
        <w:t xml:space="preserve">Purchase Order</w:t>
      </w:r>
      <w:r>
        <w:t xml:space="preserve"> </w:t>
      </w:r>
      <w:r>
        <w:t xml:space="preserve">are subject to final inspection and approval by the Purchaser's representative at the</w:t>
      </w:r>
      <w:r>
        <w:t xml:space="preserve"> </w:t>
      </w:r>
      <w:r>
        <w:t xml:space="preserve">Malaysia Kuala Lumpur</w:t>
      </w:r>
      <w:r>
        <w:t xml:space="preserve"> </w:t>
      </w:r>
      <w:r>
        <w:t xml:space="preserve">site. Acceptance does not waive latent defects.</w:t>
      </w:r>
    </w:p>
    <w:p>
      <w:pPr>
        <w:pStyle w:val="FirstParagraph"/>
      </w:pPr>
      <w:r>
        <w:t xml:space="preserve">Authorisation &amp; Acceptance</w:t>
      </w:r>
    </w:p>
    <w:p>
      <w:pPr>
        <w:pStyle w:val="BodyText"/>
      </w:pPr>
      <w:r>
        <w:rPr>
          <w:bCs/>
          <w:b/>
        </w:rPr>
        <w:t xml:space="preserve">For and on behalf of:</w:t>
      </w:r>
      <w:r>
        <w:br/>
      </w:r>
      <w:r>
        <w:t xml:space="preserve">KL Premier Interiors Sdn. Bhd.</w:t>
      </w:r>
      <w:r>
        <w:br/>
      </w:r>
      <w:r>
        <w:br/>
      </w:r>
      <w:r>
        <w:t xml:space="preserve">Name: Tan Wei Ming</w:t>
      </w:r>
      <w:r>
        <w:br/>
      </w:r>
      <w:r>
        <w:t xml:space="preserve">Designation: Project Director</w:t>
      </w:r>
      <w:r>
        <w:br/>
      </w:r>
      <w:r>
        <w:t xml:space="preserve">Date: _______________</w:t>
      </w:r>
    </w:p>
    <w:p>
      <w:pPr>
        <w:pStyle w:val="BodyText"/>
      </w:pPr>
      <w:r>
        <w:t xml:space="preserve">Signature &amp; Company Stamp</w:t>
      </w:r>
    </w:p>
    <w:p>
      <w:pPr>
        <w:pStyle w:val="BodyText"/>
      </w:pPr>
      <w:r>
        <w:rPr>
          <w:bCs/>
          <w:b/>
        </w:rPr>
        <w:t xml:space="preserve">For and on behalf of:</w:t>
      </w:r>
      <w:r>
        <w:br/>
      </w:r>
      <w:r>
        <w:t xml:space="preserve">Nusantara Carpenter &amp; Woodworks Enterprise</w:t>
      </w:r>
      <w:r>
        <w:br/>
      </w:r>
      <w:r>
        <w:br/>
      </w:r>
      <w:r>
        <w:t xml:space="preserve">Name: Rajesh Kumar</w:t>
      </w:r>
      <w:r>
        <w:br/>
      </w:r>
      <w:r>
        <w:t xml:space="preserve">Designation: Master Carpenter / Owner</w:t>
      </w:r>
      <w:r>
        <w:br/>
      </w:r>
      <w:r>
        <w:t xml:space="preserve">Date: _______________</w:t>
      </w:r>
    </w:p>
    <w:p>
      <w:pPr>
        <w:pStyle w:val="BodyText"/>
      </w:pPr>
      <w:r>
        <w:t xml:space="preserve">Signature &amp; Company Stamp</w:t>
      </w:r>
    </w:p>
    <w:p>
      <w:pPr>
        <w:pStyle w:val="BodyText"/>
      </w:pPr>
      <w:r>
        <w:t xml:space="preserve">This</w:t>
      </w:r>
      <w:r>
        <w:t xml:space="preserve"> </w:t>
      </w:r>
      <w:r>
        <w:t xml:space="preserve">Purchase Order</w:t>
      </w:r>
      <w:r>
        <w:t xml:space="preserve"> </w:t>
      </w:r>
      <w:r>
        <w:t xml:space="preserve">(PO-ML-2025-04782) is issued for</w:t>
      </w:r>
      <w:r>
        <w:t xml:space="preserve"> </w:t>
      </w:r>
      <w:r>
        <w:t xml:space="preserve">Carpenter</w:t>
      </w:r>
      <w:r>
        <w:t xml:space="preserve"> </w:t>
      </w:r>
      <w:r>
        <w:t xml:space="preserve">services and timber supply in</w:t>
      </w:r>
      <w:r>
        <w:t xml:space="preserve"> </w:t>
      </w:r>
      <w:r>
        <w:t xml:space="preserve">Malaysia Kuala Lumpur</w:t>
      </w:r>
      <w:r>
        <w:t xml:space="preserve">. Document reference: KPI/PROC/2025/04782. This document is valid for 30 days from the date of issue. For queries, contact the Procurement Department at procurement@klpremierinteriors.my or +60 3-2181 4567. All communications regarding this</w:t>
      </w:r>
      <w:r>
        <w:t xml:space="preserve"> </w:t>
      </w:r>
      <w:r>
        <w:t xml:space="preserve">Purchase Order</w:t>
      </w:r>
      <w:r>
        <w:t xml:space="preserve"> </w:t>
      </w:r>
      <w:r>
        <w:t xml:space="preserve">shall be directed to the designated contacts above. This document is printed in Kuala Lumpur, Federal Territory,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Malaysia Kuala Lumpur</dc:title>
  <dc:creator/>
  <dc:language>en</dc:language>
  <cp:keywords/>
  <dcterms:created xsi:type="dcterms:W3CDTF">2026-10-10T05:50:29Z</dcterms:created>
  <dcterms:modified xsi:type="dcterms:W3CDTF">2026-10-10T05:50:29Z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