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Official Procurement Document for Carpenter Services</w:t>
      </w:r>
    </w:p>
    <w:p>
      <w:pPr>
        <w:pStyle w:val="BodyText"/>
      </w:pPr>
      <w:r>
        <w:t xml:space="preserve">Issued in Peru Lima — Republic of Peru</w:t>
      </w:r>
    </w:p>
    <w:bookmarkEnd w:id="20"/>
    <w:p>
      <w:pPr>
        <w:pStyle w:val="BodyText"/>
      </w:pPr>
      <w:r>
        <w:rPr>
          <w:bCs/>
          <w:b/>
        </w:rPr>
        <w:t xml:space="preserve">Purchase Order Number:</w:t>
      </w:r>
      <w:r>
        <w:t xml:space="preserve"> </w:t>
      </w:r>
      <w:r>
        <w:t xml:space="preserve">PO-LIMA-2025-004782</w:t>
      </w:r>
    </w:p>
    <w:p>
      <w:pPr>
        <w:pStyle w:val="BodyText"/>
      </w:pPr>
      <w:r>
        <w:rPr>
          <w:bCs/>
          <w:b/>
        </w:rPr>
        <w:t xml:space="preserve">Date of Issue:</w:t>
      </w:r>
      <w:r>
        <w:t xml:space="preserve"> </w:t>
      </w:r>
      <w:r>
        <w:t xml:space="preserve">June 15, 2025</w:t>
      </w:r>
    </w:p>
    <w:p>
      <w:pPr>
        <w:pStyle w:val="BodyText"/>
      </w:pPr>
      <w:r>
        <w:rPr>
          <w:bCs/>
          <w:b/>
        </w:rPr>
        <w:t xml:space="preserve">Issuing Company:</w:t>
      </w:r>
      <w:r>
        <w:t xml:space="preserve"> </w:t>
      </w:r>
      <w:r>
        <w:t xml:space="preserve">Construcciones del Pacífico S.A.C.</w:t>
      </w:r>
      <w:r>
        <w:br/>
      </w:r>
      <w:r>
        <w:t xml:space="preserve">Av. Javier Prado Este 1245, San Isidro</w:t>
      </w:r>
      <w:r>
        <w:br/>
      </w:r>
      <w:r>
        <w:t xml:space="preserve">Peru Lima, 15078 — RUC: 20587432190</w:t>
      </w:r>
    </w:p>
    <w:p>
      <w:pPr>
        <w:pStyle w:val="BodyText"/>
      </w:pPr>
      <w:r>
        <w:rPr>
          <w:bCs/>
          <w:b/>
        </w:rPr>
        <w:t xml:space="preserve">Contractor / Carpenter:</w:t>
      </w:r>
      <w:r>
        <w:t xml:space="preserve"> </w:t>
      </w:r>
      <w:r>
        <w:t xml:space="preserve">Don Ricardo Mendoza Huamán</w:t>
      </w:r>
      <w:r>
        <w:br/>
      </w:r>
      <w:r>
        <w:t xml:space="preserve">Taller de Carpintería "Madera Viva"</w:t>
      </w:r>
      <w:r>
        <w:br/>
      </w:r>
      <w:r>
        <w:t xml:space="preserve">Jr. Los Álamos 892, Miraflores</w:t>
      </w:r>
      <w:r>
        <w:br/>
      </w:r>
      <w:r>
        <w:t xml:space="preserve">Peru Lima, 15076 — DNI: 45678912</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rPr>
          <w:bCs/>
          <w:b/>
        </w:rPr>
        <w:t xml:space="preserve">Purchase Order</w:t>
      </w:r>
      <w:r>
        <w:t xml:space="preserve"> </w:t>
      </w:r>
      <w:r>
        <w:t xml:space="preserve">is formally issued by Construcciones del Pacífico S.A.C., a construction and interior design firm headquartered in Peru Lima, to authorize and commission the professional services of a licensed</w:t>
      </w:r>
      <w:r>
        <w:t xml:space="preserve"> </w:t>
      </w:r>
      <w:r>
        <w:rPr>
          <w:bCs/>
          <w:b/>
        </w:rPr>
        <w:t xml:space="preserve">Carpenter</w:t>
      </w:r>
      <w:r>
        <w:t xml:space="preserve"> </w:t>
      </w:r>
      <w:r>
        <w:t xml:space="preserve">for the execution of custom woodworking, cabinetry, and structural timber work at the residential development project "Residencial Costa Verde" located in the district of Miraflores, Peru Lima. This document serves as the binding procurement instrument that defines the scope, pricing, timeline, and contractual obligations between the issuing company and the designated Carpenter for the duration of the project.</w:t>
      </w:r>
    </w:p>
    <w:p>
      <w:pPr>
        <w:pStyle w:val="BodyText"/>
      </w:pPr>
      <w:r>
        <w:t xml:space="preserve">The Carpenter engaged under this Purchase Order shall be responsible for all wood-related construction tasks, including but not limited to: the fabrication and installation of custom kitchen cabinetry, the construction of hardwood flooring in the common areas, the assembly of built-in bookshelves and entertainment units, the creation of decorative wooden paneling for the lobby and reception areas, and the repair and reinforcement of existing timber structural elements identified during the initial site inspection conducted on May 28, 2025, in Peru Lima.</w:t>
      </w:r>
    </w:p>
    <w:bookmarkEnd w:id="21"/>
    <w:bookmarkStart w:id="22" w:name="itemized-services-and-materials"/>
    <w:p>
      <w:pPr>
        <w:pStyle w:val="Heading2"/>
      </w:pPr>
      <w:r>
        <w:t xml:space="preserve">2. Itemized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Work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Custom kitchen cabinetry (Ipe hardwood) — design, fabrication, and installation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Hardwood flooring (Cedro del Pacífico) — supply, cutting, and installation</w:t>
            </w:r>
          </w:p>
        </w:tc>
        <w:tc>
          <w:tcPr/>
          <w:p>
            <w:pPr>
              <w:pStyle w:val="Compact"/>
              <w:jc w:val="left"/>
            </w:pPr>
            <w:r>
              <w:t xml:space="preserve">320</w:t>
            </w:r>
          </w:p>
        </w:tc>
        <w:tc>
          <w:tcPr/>
          <w:p>
            <w:pPr>
              <w:pStyle w:val="Compact"/>
              <w:jc w:val="left"/>
            </w:pPr>
            <w:r>
              <w:t xml:space="preserve">m²</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03</w:t>
            </w:r>
          </w:p>
        </w:tc>
        <w:tc>
          <w:tcPr/>
          <w:p>
            <w:pPr>
              <w:pStyle w:val="Compact"/>
              <w:jc w:val="left"/>
            </w:pPr>
            <w:r>
              <w:t xml:space="preserve">Built-in bookshelves and wall units (Mogno Peruvian) — fabrication and assembly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Decorative wooden paneling for lobby and reception (Caoba) — cutting, finishing, and mounting</w:t>
            </w:r>
          </w:p>
        </w:tc>
        <w:tc>
          <w:tcPr/>
          <w:p>
            <w:pPr>
              <w:pStyle w:val="Compact"/>
              <w:jc w:val="left"/>
            </w:pPr>
            <w:r>
              <w:t xml:space="preserve">85</w:t>
            </w:r>
          </w:p>
        </w:tc>
        <w:tc>
          <w:tcPr/>
          <w:p>
            <w:pPr>
              <w:pStyle w:val="Compact"/>
              <w:jc w:val="left"/>
            </w:pPr>
            <w:r>
              <w:t xml:space="preserve">m²</w:t>
            </w:r>
          </w:p>
        </w:tc>
        <w:tc>
          <w:tcPr/>
          <w:p>
            <w:pPr>
              <w:pStyle w:val="Compact"/>
              <w:jc w:val="left"/>
            </w:pPr>
            <w:r>
              <w:t xml:space="preserve">210.00</w:t>
            </w:r>
          </w:p>
        </w:tc>
        <w:tc>
          <w:tcPr/>
          <w:p>
            <w:pPr>
              <w:pStyle w:val="Compact"/>
              <w:jc w:val="left"/>
            </w:pPr>
            <w:r>
              <w:t xml:space="preserve">17,850.00</w:t>
            </w:r>
          </w:p>
        </w:tc>
      </w:tr>
      <w:tr>
        <w:tc>
          <w:tcPr/>
          <w:p>
            <w:pPr>
              <w:pStyle w:val="Compact"/>
              <w:jc w:val="left"/>
            </w:pPr>
            <w:r>
              <w:t xml:space="preserve">05</w:t>
            </w:r>
          </w:p>
        </w:tc>
        <w:tc>
          <w:tcPr/>
          <w:p>
            <w:pPr>
              <w:pStyle w:val="Compact"/>
              <w:jc w:val="left"/>
            </w:pPr>
            <w:r>
              <w:t xml:space="preserve">Structural timber repair and reinforcement of existing beams (Pino Peruvian)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06</w:t>
            </w:r>
          </w:p>
        </w:tc>
        <w:tc>
          <w:tcPr/>
          <w:p>
            <w:pPr>
              <w:pStyle w:val="Compact"/>
              <w:jc w:val="left"/>
            </w:pPr>
            <w:r>
              <w:t xml:space="preserve">Custom wooden doors (6 units) — fabrication, hardware installation, and fitting</w:t>
            </w:r>
          </w:p>
        </w:tc>
        <w:tc>
          <w:tcPr/>
          <w:p>
            <w:pPr>
              <w:pStyle w:val="Compact"/>
              <w:jc w:val="left"/>
            </w:pPr>
            <w:r>
              <w:t xml:space="preserve">6</w:t>
            </w:r>
          </w:p>
        </w:tc>
        <w:tc>
          <w:tcPr/>
          <w:p>
            <w:pPr>
              <w:pStyle w:val="Compact"/>
              <w:jc w:val="left"/>
            </w:pPr>
            <w:r>
              <w:t xml:space="preserve">Doors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Professional finishing: sanding, varnishing, and sealing of all carpentry 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9,600.00</w:t>
            </w:r>
          </w:p>
        </w:tc>
        <w:tc>
          <w:tcPr/>
          <w:p>
            <w:pPr>
              <w:pStyle w:val="Compact"/>
              <w:jc w:val="left"/>
            </w:pPr>
            <w:r>
              <w:t xml:space="preserve">9,600.00</w:t>
            </w:r>
          </w:p>
        </w:tc>
      </w:tr>
      <w:tr>
        <w:tc>
          <w:tcPr>
            <w:gridSpan w:val="5"/>
          </w:tcPr>
          <w:p>
            <w:pPr>
              <w:pStyle w:val="Compact"/>
              <w:jc w:val="right"/>
            </w:pPr>
            <w:r>
              <w:t xml:space="preserve">TOTAL AMOUNT (before IGV 18%):</w:t>
            </w:r>
          </w:p>
        </w:tc>
        <w:tc>
          <w:tcPr/>
          <w:p>
            <w:pPr>
              <w:pStyle w:val="Compact"/>
              <w:jc w:val="left"/>
            </w:pPr>
            <w:r>
              <w:t xml:space="preserve">172,300.00</w:t>
            </w:r>
          </w:p>
        </w:tc>
      </w:tr>
      <w:tr>
        <w:tc>
          <w:tcPr>
            <w:gridSpan w:val="5"/>
          </w:tcPr>
          <w:p>
            <w:pPr>
              <w:pStyle w:val="Compact"/>
              <w:jc w:val="right"/>
            </w:pPr>
            <w:r>
              <w:t xml:space="preserve">IGV (18%):</w:t>
            </w:r>
          </w:p>
        </w:tc>
        <w:tc>
          <w:tcPr/>
          <w:p>
            <w:pPr>
              <w:pStyle w:val="Compact"/>
              <w:jc w:val="left"/>
            </w:pPr>
            <w:r>
              <w:t xml:space="preserve">31,014.00</w:t>
            </w:r>
          </w:p>
        </w:tc>
      </w:tr>
      <w:tr>
        <w:tc>
          <w:tcPr>
            <w:gridSpan w:val="5"/>
          </w:tcPr>
          <w:p>
            <w:pPr>
              <w:pStyle w:val="Compact"/>
              <w:jc w:val="right"/>
            </w:pPr>
            <w:r>
              <w:t xml:space="preserve">GRAND TOTAL (PEN):</w:t>
            </w:r>
          </w:p>
        </w:tc>
        <w:tc>
          <w:tcPr/>
          <w:p>
            <w:pPr>
              <w:pStyle w:val="Compact"/>
              <w:jc w:val="left"/>
            </w:pPr>
            <w:r>
              <w:t xml:space="preserve">203,314.00</w:t>
            </w:r>
          </w:p>
        </w:tc>
      </w:tr>
    </w:tbl>
    <w:bookmarkEnd w:id="22"/>
    <w:bookmarkStart w:id="23" w:name="payment-terms-and-schedule"/>
    <w:p>
      <w:pPr>
        <w:pStyle w:val="Heading2"/>
      </w:pPr>
      <w:r>
        <w:t xml:space="preserve">3. Payment Terms and Schedule</w:t>
      </w:r>
    </w:p>
    <w:p>
      <w:pPr>
        <w:pStyle w:val="FirstParagraph"/>
      </w:pPr>
      <w:r>
        <w:t xml:space="preserve">Payment for the Carpenter services and materials specified in this Purchase Order shall be made in three (3) installments via bank transfer to the account designated by the Carpenter, in accordance with the financial regulations of the Superintendencia Nacional de Aduanas y de Administración Tributaria (SUNAT) of Peru Lima:</w:t>
      </w:r>
    </w:p>
    <w:p>
      <w:pPr>
        <w:numPr>
          <w:ilvl w:val="0"/>
          <w:numId w:val="1001"/>
        </w:numPr>
        <w:pStyle w:val="Compact"/>
      </w:pPr>
      <w:r>
        <w:rPr>
          <w:bCs/>
          <w:b/>
        </w:rPr>
        <w:t xml:space="preserve">First Installment (40%):</w:t>
      </w:r>
      <w:r>
        <w:t xml:space="preserve"> </w:t>
      </w:r>
      <w:r>
        <w:t xml:space="preserve">PEN 81,325.60 — Due upon formal acceptance of this Purchase Order and commencement of work on-site in Peru Lima. This payment covers material procurement and initial fabrication.</w:t>
      </w:r>
    </w:p>
    <w:p>
      <w:pPr>
        <w:numPr>
          <w:ilvl w:val="0"/>
          <w:numId w:val="1001"/>
        </w:numPr>
        <w:pStyle w:val="Compact"/>
      </w:pPr>
      <w:r>
        <w:rPr>
          <w:bCs/>
          <w:b/>
        </w:rPr>
        <w:t xml:space="preserve">Second Installment (35%):</w:t>
      </w:r>
      <w:r>
        <w:t xml:space="preserve"> </w:t>
      </w:r>
      <w:r>
        <w:t xml:space="preserve">PEN 71,159.90 — Due upon completion of 60% of the physical work, as verified by the project supervisor of Construcciones del Pacífico S.A.C. in Peru Lima.</w:t>
      </w:r>
    </w:p>
    <w:p>
      <w:pPr>
        <w:numPr>
          <w:ilvl w:val="0"/>
          <w:numId w:val="1001"/>
        </w:numPr>
        <w:pStyle w:val="Compact"/>
      </w:pPr>
      <w:r>
        <w:rPr>
          <w:bCs/>
          <w:b/>
        </w:rPr>
        <w:t xml:space="preserve">Third Installment (25%):</w:t>
      </w:r>
      <w:r>
        <w:t xml:space="preserve"> </w:t>
      </w:r>
      <w:r>
        <w:t xml:space="preserve">PEN 50,828.50 — Due upon final inspection, sign-off, and delivery of the completed carpentry work, including all warranty documentation.</w:t>
      </w:r>
    </w:p>
    <w:bookmarkEnd w:id="23"/>
    <w:bookmarkStart w:id="24" w:name="timeline-and-delivery-schedule"/>
    <w:p>
      <w:pPr>
        <w:pStyle w:val="Heading2"/>
      </w:pPr>
      <w:r>
        <w:t xml:space="preserve">4. Timeline and Delivery Schedule</w:t>
      </w:r>
    </w:p>
    <w:p>
      <w:pPr>
        <w:pStyle w:val="FirstParagraph"/>
      </w:pPr>
      <w:r>
        <w:t xml:space="preserve">The Carpenter shall commence work on</w:t>
      </w:r>
      <w:r>
        <w:t xml:space="preserve"> </w:t>
      </w:r>
      <w:r>
        <w:rPr>
          <w:bCs/>
          <w:b/>
        </w:rPr>
        <w:t xml:space="preserve">June 23, 2025</w:t>
      </w:r>
      <w:r>
        <w:t xml:space="preserve">, and shall complete all tasks no later than</w:t>
      </w:r>
      <w:r>
        <w:t xml:space="preserve"> </w:t>
      </w:r>
      <w:r>
        <w:rPr>
          <w:bCs/>
          <w:b/>
        </w:rPr>
        <w:t xml:space="preserve">August 29, 2025</w:t>
      </w:r>
      <w:r>
        <w:t xml:space="preserve">. All work shall be performed at the project site in Miraflores, Peru Lima, during standard working hours (07:00 to 17:00, Monday through Saturday). The Carpenter is required to submit a weekly progress report to the project manager every Friday. Any delays attributable to the Carpenter shall incur a penalty of 0.5% of the total Purchase Order value per calendar day of delay, in compliance with Peruvian commercial law applicable in Peru Lima.</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Civil Code of Peru and the Commercial Code of Peru, with jurisdiction vested in the courts of Peru Lima.</w:t>
      </w:r>
    </w:p>
    <w:p>
      <w:pPr>
        <w:numPr>
          <w:ilvl w:val="0"/>
          <w:numId w:val="1002"/>
        </w:numPr>
        <w:pStyle w:val="Compact"/>
      </w:pPr>
      <w:r>
        <w:t xml:space="preserve">The Carpenter warrants that all materials used shall be of Peruvian origin where specified, free from defects, and compliant with the technical standards established by the Instituto Nacional de Calidad (INACAL) in Peru Lima.</w:t>
      </w:r>
    </w:p>
    <w:p>
      <w:pPr>
        <w:numPr>
          <w:ilvl w:val="0"/>
          <w:numId w:val="1002"/>
        </w:numPr>
        <w:pStyle w:val="Compact"/>
      </w:pPr>
      <w:r>
        <w:t xml:space="preserve">The Carpenter shall maintain valid professional insurance coverage (Seguro de Responsabilidad Civil) throughout the duration of the contract, with a minimum coverage of PEN 500,000, as required for construction workers operating in Peru Lima.</w:t>
      </w:r>
    </w:p>
    <w:p>
      <w:pPr>
        <w:numPr>
          <w:ilvl w:val="0"/>
          <w:numId w:val="1002"/>
        </w:numPr>
        <w:pStyle w:val="Compact"/>
      </w:pPr>
      <w:r>
        <w:t xml:space="preserve">All carpentry work shall carry a minimum warranty period of twenty-four (24) months from the date of final acceptance. During this warranty period, the Carpenter shall repair or replace any defective work at no additional cost to the issuing company.</w:t>
      </w:r>
    </w:p>
    <w:p>
      <w:pPr>
        <w:numPr>
          <w:ilvl w:val="0"/>
          <w:numId w:val="1002"/>
        </w:numPr>
        <w:pStyle w:val="Compact"/>
      </w:pPr>
      <w:r>
        <w:t xml:space="preserve">The Carpenter is responsible for obtaining all necessary municipal permits and environmental clearances from the Municipalidad Metropolitana de Lima for any work that may affect the structural integrity of the building in Peru Lima.</w:t>
      </w:r>
    </w:p>
    <w:p>
      <w:pPr>
        <w:numPr>
          <w:ilvl w:val="0"/>
          <w:numId w:val="1002"/>
        </w:numPr>
        <w:pStyle w:val="Compact"/>
      </w:pPr>
      <w:r>
        <w:t xml:space="preserve">Any modifications or changes to the scope of work outlined in this Purchase Order must be documented in a formal written addendum signed by both parties before execution.</w:t>
      </w:r>
    </w:p>
    <w:p>
      <w:pPr>
        <w:numPr>
          <w:ilvl w:val="0"/>
          <w:numId w:val="1002"/>
        </w:numPr>
        <w:pStyle w:val="Compact"/>
      </w:pPr>
      <w:r>
        <w:t xml:space="preserve">The Carpenter shall comply with all occupational health and safety regulations (Reglamento de Seguridad y Salud en el Trabajo) enforced by the Ministry of Labor of Peru, particularly those applicable to woodworking operations in Peru Lima.</w:t>
      </w:r>
    </w:p>
    <w:p>
      <w:pPr>
        <w:numPr>
          <w:ilvl w:val="0"/>
          <w:numId w:val="1002"/>
        </w:numPr>
        <w:pStyle w:val="Compact"/>
      </w:pPr>
      <w:r>
        <w:t xml:space="preserve">Confidentiality: The Carpenter agrees to maintain strict confidentiality regarding the architectural plans, client information, and proprietary design specifications associated with this project in Peru Lima.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specifications set forth in this Purchase Order for Carpenter services to be executed in Peru Lima. This document constitutes a legally binding agreement effective from the date of the last signature.</w:t>
      </w:r>
    </w:p>
    <w:p>
      <w:pPr>
        <w:pStyle w:val="BodyText"/>
      </w:pPr>
      <w:r>
        <w:rPr>
          <w:bCs/>
          <w:b/>
        </w:rPr>
        <w:t xml:space="preserve">For Construcciones del Pacífico S.A.C.</w:t>
      </w:r>
      <w:r>
        <w:br/>
      </w:r>
      <w:r>
        <w:t xml:space="preserve">Name: Ing. Carlos Alberto Torres Vega</w:t>
      </w:r>
      <w:r>
        <w:br/>
      </w:r>
      <w:r>
        <w:t xml:space="preserve">Position: Director de Compras</w:t>
      </w:r>
      <w:r>
        <w:br/>
      </w:r>
      <w:r>
        <w:t xml:space="preserve">Date: _______________</w:t>
      </w:r>
    </w:p>
    <w:p>
      <w:pPr>
        <w:pStyle w:val="BodyText"/>
      </w:pPr>
      <w:r>
        <w:rPr>
          <w:bCs/>
          <w:b/>
        </w:rPr>
        <w:t xml:space="preserve">For the Carpenter / Contractor</w:t>
      </w:r>
      <w:r>
        <w:br/>
      </w:r>
      <w:r>
        <w:t xml:space="preserve">Name: Ricardo Mendoza Huamán</w:t>
      </w:r>
      <w:r>
        <w:br/>
      </w:r>
      <w:r>
        <w:t xml:space="preserve">Position: Master Carpenter — Madera Viva</w:t>
      </w:r>
      <w:r>
        <w:br/>
      </w:r>
      <w:r>
        <w:t xml:space="preserve">Date: _______________</w:t>
      </w:r>
    </w:p>
    <w:p>
      <w:pPr>
        <w:pStyle w:val="BodyText"/>
      </w:pPr>
      <w:r>
        <w:t xml:space="preserve">Purchase Order PO-LIMA-2025-004782 — Issued in Peru Lima, Republic of Peru — Page 1 of 1</w:t>
      </w:r>
    </w:p>
    <w:p>
      <w:pPr>
        <w:pStyle w:val="BodyText"/>
      </w:pPr>
      <w:r>
        <w:t xml:space="preserve">This document is valid only when bearing the original signatures and company stamp (sello) of both parties. For inquiries, contact the Procurement Department at compras@construccionespacifico.pe or visit our offices at Av. Javier Prado Este 1245, San Isidro, Peru Lima.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Peru Lima</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