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Philippines</w:t>
      </w:r>
      <w:r>
        <w:t xml:space="preserve"> </w:t>
      </w:r>
      <w:r>
        <w:t xml:space="preserve">Manila</w:t>
      </w:r>
    </w:p>
    <w:p>
      <w:pPr>
        <w:pStyle w:val="FirstParagraph"/>
      </w:pPr>
      <w:r>
        <w:t xml:space="preserve">PURCHASE ORDER</w:t>
      </w:r>
    </w:p>
    <w:bookmarkStart w:id="20" w:name="purchase-order"/>
    <w:p>
      <w:pPr>
        <w:pStyle w:val="Heading1"/>
      </w:pPr>
      <w:r>
        <w:t xml:space="preserve">Purchase Order</w:t>
      </w:r>
    </w:p>
    <w:p>
      <w:pPr>
        <w:pStyle w:val="FirstParagraph"/>
      </w:pPr>
      <w:r>
        <w:rPr>
          <w:bCs/>
          <w:b/>
        </w:rPr>
        <w:t xml:space="preserve">Manila Construction &amp; Interiors Inc.</w:t>
      </w:r>
    </w:p>
    <w:p>
      <w:pPr>
        <w:pStyle w:val="BodyText"/>
      </w:pPr>
      <w:r>
        <w:t xml:space="preserve">128 Ayala Avenue, Makati City, Metro Manila, Philippines Manila 1226</w:t>
      </w:r>
    </w:p>
    <w:p>
      <w:pPr>
        <w:pStyle w:val="BodyText"/>
      </w:pPr>
      <w:r>
        <w:t xml:space="preserve">Tel: +63 (2) 8887-4521 | Email: procurement@manilacoi.com.ph | TIN: 000-123-456-789</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PO-MNL-2025-04782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15, 2025</w:t>
      </w:r>
    </w:p>
    <w:p>
      <w:pPr>
        <w:pStyle w:val="BodyText"/>
      </w:pPr>
      <w:r>
        <w:rPr>
          <w:bCs/>
          <w:b/>
        </w:rPr>
        <w:t xml:space="preserve">Project Site:</w:t>
      </w:r>
      <w:r>
        <w:t xml:space="preserve"> </w:t>
      </w:r>
      <w:r>
        <w:t xml:space="preserve">Unit 1804, The Residences at Bonifacio Global City, Taguig, Philippines Manila</w:t>
      </w:r>
    </w:p>
    <w:p>
      <w:pPr>
        <w:pStyle w:val="BodyText"/>
      </w:pPr>
      <w:r>
        <w:rPr>
          <w:bCs/>
          <w:b/>
        </w:rPr>
        <w:t xml:space="preserve">Project Reference:</w:t>
      </w:r>
      <w:r>
        <w:t xml:space="preserve"> </w:t>
      </w:r>
      <w:r>
        <w:t xml:space="preserve">Residential Renovation – Phase 2</w:t>
      </w:r>
    </w:p>
    <w:bookmarkEnd w:id="21"/>
    <w:bookmarkStart w:id="22" w:name="vendor-carpenter-information"/>
    <w:p>
      <w:pPr>
        <w:pStyle w:val="Heading3"/>
      </w:pPr>
      <w:r>
        <w:t xml:space="preserve">Vendor / Carpenter Information</w:t>
      </w:r>
    </w:p>
    <w:p>
      <w:pPr>
        <w:pStyle w:val="FirstParagraph"/>
      </w:pPr>
      <w:r>
        <w:rPr>
          <w:bCs/>
          <w:b/>
        </w:rPr>
        <w:t xml:space="preserve">Vendor Name:</w:t>
      </w:r>
      <w:r>
        <w:t xml:space="preserve"> </w:t>
      </w:r>
      <w:r>
        <w:t xml:space="preserve">MasterCraft Carpenter Services</w:t>
      </w:r>
    </w:p>
    <w:p>
      <w:pPr>
        <w:pStyle w:val="BodyText"/>
      </w:pPr>
      <w:r>
        <w:rPr>
          <w:bCs/>
          <w:b/>
        </w:rPr>
        <w:t xml:space="preserve">Represented By:</w:t>
      </w:r>
      <w:r>
        <w:t xml:space="preserve"> </w:t>
      </w:r>
      <w:r>
        <w:t xml:space="preserve">Engr. Rafael D. Santos, Master Carpenter</w:t>
      </w:r>
    </w:p>
    <w:p>
      <w:pPr>
        <w:pStyle w:val="BodyText"/>
      </w:pPr>
      <w:r>
        <w:rPr>
          <w:bCs/>
          <w:b/>
        </w:rPr>
        <w:t xml:space="preserve">Address:</w:t>
      </w:r>
      <w:r>
        <w:t xml:space="preserve"> </w:t>
      </w:r>
      <w:r>
        <w:t xml:space="preserve">45 Mabini Street, Quezon City, Philippines Manila 1100</w:t>
      </w:r>
    </w:p>
    <w:p>
      <w:pPr>
        <w:pStyle w:val="BodyText"/>
      </w:pPr>
      <w:r>
        <w:rPr>
          <w:bCs/>
          <w:b/>
        </w:rPr>
        <w:t xml:space="preserve">TIN:</w:t>
      </w:r>
      <w:r>
        <w:t xml:space="preserve"> </w:t>
      </w:r>
      <w:r>
        <w:t xml:space="preserve">123-456-789-012</w:t>
      </w:r>
    </w:p>
    <w:p>
      <w:pPr>
        <w:pStyle w:val="BodyText"/>
      </w:pPr>
      <w:r>
        <w:rPr>
          <w:bCs/>
          <w:b/>
        </w:rPr>
        <w:t xml:space="preserve">Contact:</w:t>
      </w:r>
      <w:r>
        <w:t xml:space="preserve"> </w:t>
      </w:r>
      <w:r>
        <w:t xml:space="preserve">+63 917 555 0142 | rsantos@mastercraftcarpenter.ph</w:t>
      </w:r>
    </w:p>
    <w:p>
      <w:pPr>
        <w:pStyle w:val="BodyText"/>
      </w:pPr>
      <w:r>
        <w:rPr>
          <w:bCs/>
          <w:b/>
        </w:rPr>
        <w:t xml:space="preserve">License No.:</w:t>
      </w:r>
      <w:r>
        <w:t xml:space="preserve"> </w:t>
      </w:r>
      <w:r>
        <w:t xml:space="preserve">PRC-CARP-2019-004521</w:t>
      </w:r>
    </w:p>
    <w:bookmarkEnd w:id="22"/>
    <w:bookmarkStart w:id="23" w:name="Xb828fbeb52a67f2aae9a06ecd131fc0e9136c0a"/>
    <w:p>
      <w:pPr>
        <w:pStyle w:val="Heading2"/>
      </w:pPr>
      <w:r>
        <w:t xml:space="preserve">Line Items – Carpenter Services and Materials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Carpenter Work / Item</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(PHP)</w:t>
            </w:r>
          </w:p>
        </w:tc>
        <w:tc>
          <w:tcPr/>
          <w:p>
            <w:pPr>
              <w:pStyle w:val="Compact"/>
              <w:jc w:val="left"/>
            </w:pPr>
            <w:r>
              <w:t xml:space="preserve">Amount (PHP)</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Custom-built hardwood kitchen cabinets (Mahogany, 3-tier, with soft-close hinges) – Carpenter fabrication and installation</w:t>
            </w:r>
          </w:p>
        </w:tc>
        <w:tc>
          <w:tcPr/>
          <w:p>
            <w:pPr>
              <w:pStyle w:val="Compact"/>
              <w:jc w:val="left"/>
            </w:pPr>
            <w:r>
              <w:t xml:space="preserve">Set</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c>
          <w:tcPr/>
          <w:p>
            <w:pPr>
              <w:pStyle w:val="Compact"/>
              <w:jc w:val="left"/>
            </w:pPr>
            <w:r>
              <w:t xml:space="preserve">July 5, 2025</w:t>
            </w:r>
          </w:p>
        </w:tc>
      </w:tr>
      <w:tr>
        <w:tc>
          <w:tcPr/>
          <w:p>
            <w:pPr>
              <w:pStyle w:val="Compact"/>
              <w:jc w:val="left"/>
            </w:pPr>
            <w:r>
              <w:t xml:space="preserve">2</w:t>
            </w:r>
          </w:p>
        </w:tc>
        <w:tc>
          <w:tcPr/>
          <w:p>
            <w:pPr>
              <w:pStyle w:val="Compact"/>
              <w:jc w:val="left"/>
            </w:pPr>
            <w:r>
              <w:t xml:space="preserve">Master bedroom walk-in closet system (Walnut veneer, sliding doors, LED strip lighting) – Carpenter design and assembly</w:t>
            </w:r>
          </w:p>
        </w:tc>
        <w:tc>
          <w:tcPr/>
          <w:p>
            <w:pPr>
              <w:pStyle w:val="Compact"/>
              <w:jc w:val="left"/>
            </w:pPr>
            <w:r>
              <w:t xml:space="preserve">Set</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c>
          <w:tcPr/>
          <w:p>
            <w:pPr>
              <w:pStyle w:val="Compact"/>
              <w:jc w:val="left"/>
            </w:pPr>
            <w:r>
              <w:t xml:space="preserve">July 8, 2025</w:t>
            </w:r>
          </w:p>
        </w:tc>
      </w:tr>
      <w:tr>
        <w:tc>
          <w:tcPr/>
          <w:p>
            <w:pPr>
              <w:pStyle w:val="Compact"/>
              <w:jc w:val="left"/>
            </w:pPr>
            <w:r>
              <w:t xml:space="preserve">3</w:t>
            </w:r>
          </w:p>
        </w:tc>
        <w:tc>
          <w:tcPr/>
          <w:p>
            <w:pPr>
              <w:pStyle w:val="Compact"/>
              <w:jc w:val="left"/>
            </w:pPr>
            <w:r>
              <w:t xml:space="preserve">Custom floating shelves and wall-mounted bookcase (Acacia wood, 4 units) – Carpenter cutting, sanding, and mounting</w:t>
            </w:r>
          </w:p>
        </w:tc>
        <w:tc>
          <w:tcPr/>
          <w:p>
            <w:pPr>
              <w:pStyle w:val="Compact"/>
              <w:jc w:val="left"/>
            </w:pPr>
            <w:r>
              <w:t xml:space="preserve">Unit</w:t>
            </w:r>
          </w:p>
        </w:tc>
        <w:tc>
          <w:tcPr/>
          <w:p>
            <w:pPr>
              <w:pStyle w:val="Compact"/>
              <w:jc w:val="left"/>
            </w:pPr>
            <w:r>
              <w:t xml:space="preserve">4</w:t>
            </w:r>
          </w:p>
        </w:tc>
        <w:tc>
          <w:tcPr/>
          <w:p>
            <w:pPr>
              <w:pStyle w:val="Compact"/>
              <w:jc w:val="left"/>
            </w:pPr>
            <w:r>
              <w:t xml:space="preserve">12,500.00</w:t>
            </w:r>
          </w:p>
        </w:tc>
        <w:tc>
          <w:tcPr/>
          <w:p>
            <w:pPr>
              <w:pStyle w:val="Compact"/>
              <w:jc w:val="left"/>
            </w:pPr>
            <w:r>
              <w:t xml:space="preserve">50,000.00</w:t>
            </w:r>
          </w:p>
        </w:tc>
        <w:tc>
          <w:tcPr/>
          <w:p>
            <w:pPr>
              <w:pStyle w:val="Compact"/>
              <w:jc w:val="left"/>
            </w:pPr>
            <w:r>
              <w:t xml:space="preserve">July 10, 2025</w:t>
            </w:r>
          </w:p>
        </w:tc>
      </w:tr>
      <w:tr>
        <w:tc>
          <w:tcPr/>
          <w:p>
            <w:pPr>
              <w:pStyle w:val="Compact"/>
              <w:jc w:val="left"/>
            </w:pPr>
            <w:r>
              <w:t xml:space="preserve">4</w:t>
            </w:r>
          </w:p>
        </w:tc>
        <w:tc>
          <w:tcPr/>
          <w:p>
            <w:pPr>
              <w:pStyle w:val="Compact"/>
              <w:jc w:val="left"/>
            </w:pPr>
            <w:r>
              <w:t xml:space="preserve">Interior door frames and trim molding (Solid Pine, 6 doors) – Carpenter measurement, fitting, and finishing</w:t>
            </w:r>
          </w:p>
        </w:tc>
        <w:tc>
          <w:tcPr/>
          <w:p>
            <w:pPr>
              <w:pStyle w:val="Compact"/>
              <w:jc w:val="left"/>
            </w:pPr>
            <w:r>
              <w:t xml:space="preserve">Door</w:t>
            </w:r>
          </w:p>
        </w:tc>
        <w:tc>
          <w:tcPr/>
          <w:p>
            <w:pPr>
              <w:pStyle w:val="Compact"/>
              <w:jc w:val="left"/>
            </w:pPr>
            <w:r>
              <w:t xml:space="preserve">6</w:t>
            </w:r>
          </w:p>
        </w:tc>
        <w:tc>
          <w:tcPr/>
          <w:p>
            <w:pPr>
              <w:pStyle w:val="Compact"/>
              <w:jc w:val="left"/>
            </w:pPr>
            <w:r>
              <w:t xml:space="preserve">8,200.00</w:t>
            </w:r>
          </w:p>
        </w:tc>
        <w:tc>
          <w:tcPr/>
          <w:p>
            <w:pPr>
              <w:pStyle w:val="Compact"/>
              <w:jc w:val="left"/>
            </w:pPr>
            <w:r>
              <w:t xml:space="preserve">49,200.00</w:t>
            </w:r>
          </w:p>
        </w:tc>
        <w:tc>
          <w:tcPr/>
          <w:p>
            <w:pPr>
              <w:pStyle w:val="Compact"/>
              <w:jc w:val="left"/>
            </w:pPr>
            <w:r>
              <w:t xml:space="preserve">July 12, 2025</w:t>
            </w:r>
          </w:p>
        </w:tc>
      </w:tr>
      <w:tr>
        <w:tc>
          <w:tcPr/>
          <w:p>
            <w:pPr>
              <w:pStyle w:val="Compact"/>
              <w:jc w:val="left"/>
            </w:pPr>
            <w:r>
              <w:t xml:space="preserve">5</w:t>
            </w:r>
          </w:p>
        </w:tc>
        <w:tc>
          <w:tcPr/>
          <w:p>
            <w:pPr>
              <w:pStyle w:val="Compact"/>
              <w:jc w:val="left"/>
            </w:pPr>
            <w:r>
              <w:t xml:space="preserve">Custom dining table and 6 matching chairs (Teak wood, hand-finished) – Carpenter craftsmanship and on-site assembly</w:t>
            </w:r>
          </w:p>
        </w:tc>
        <w:tc>
          <w:tcPr/>
          <w:p>
            <w:pPr>
              <w:pStyle w:val="Compact"/>
              <w:jc w:val="left"/>
            </w:pPr>
            <w:r>
              <w:t xml:space="preserve">Set</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c>
          <w:tcPr/>
          <w:p>
            <w:pPr>
              <w:pStyle w:val="Compact"/>
              <w:jc w:val="left"/>
            </w:pPr>
            <w:r>
              <w:t xml:space="preserve">July 14, 2025</w:t>
            </w:r>
          </w:p>
        </w:tc>
      </w:tr>
      <w:tr>
        <w:tc>
          <w:tcPr/>
          <w:p>
            <w:pPr>
              <w:pStyle w:val="Compact"/>
              <w:jc w:val="left"/>
            </w:pPr>
            <w:r>
              <w:t xml:space="preserve">6</w:t>
            </w:r>
          </w:p>
        </w:tc>
        <w:tc>
          <w:tcPr/>
          <w:p>
            <w:pPr>
              <w:pStyle w:val="Compact"/>
              <w:jc w:val="left"/>
            </w:pPr>
            <w:r>
              <w:t xml:space="preserve">General carpentry labor – on-site Carpenter supervision, material handling, and finishing touches (20 man-days)</w:t>
            </w:r>
          </w:p>
        </w:tc>
        <w:tc>
          <w:tcPr/>
          <w:p>
            <w:pPr>
              <w:pStyle w:val="Compact"/>
              <w:jc w:val="left"/>
            </w:pPr>
            <w:r>
              <w:t xml:space="preserve">Man-day</w:t>
            </w:r>
          </w:p>
        </w:tc>
        <w:tc>
          <w:tcPr/>
          <w:p>
            <w:pPr>
              <w:pStyle w:val="Compact"/>
              <w:jc w:val="left"/>
            </w:pPr>
            <w:r>
              <w:t xml:space="preserve">20</w:t>
            </w:r>
          </w:p>
        </w:tc>
        <w:tc>
          <w:tcPr/>
          <w:p>
            <w:pPr>
              <w:pStyle w:val="Compact"/>
              <w:jc w:val="left"/>
            </w:pPr>
            <w:r>
              <w:t xml:space="preserve">1,800.00</w:t>
            </w:r>
          </w:p>
        </w:tc>
        <w:tc>
          <w:tcPr/>
          <w:p>
            <w:pPr>
              <w:pStyle w:val="Compact"/>
              <w:jc w:val="left"/>
            </w:pPr>
            <w:r>
              <w:t xml:space="preserve">36,000.00</w:t>
            </w:r>
          </w:p>
        </w:tc>
        <w:tc>
          <w:tcPr/>
          <w:p>
            <w:pPr>
              <w:pStyle w:val="Compact"/>
              <w:jc w:val="left"/>
            </w:pPr>
            <w:r>
              <w:t xml:space="preserve">July 15, 2025</w:t>
            </w:r>
          </w:p>
        </w:tc>
      </w:tr>
      <w:tr>
        <w:tc>
          <w:tcPr/>
          <w:p>
            <w:pPr>
              <w:pStyle w:val="Compact"/>
              <w:jc w:val="left"/>
            </w:pPr>
            <w:r>
              <w:t xml:space="preserve">7</w:t>
            </w:r>
          </w:p>
        </w:tc>
        <w:tc>
          <w:tcPr/>
          <w:p>
            <w:pPr>
              <w:pStyle w:val="Compact"/>
              <w:jc w:val="left"/>
            </w:pPr>
            <w:r>
              <w:t xml:space="preserve">Wooden flooring installation (Engineered Oak, 120 sqm) – Carpenter subfloor preparation, laying, and sealing</w:t>
            </w:r>
          </w:p>
        </w:tc>
        <w:tc>
          <w:tcPr/>
          <w:p>
            <w:pPr>
              <w:pStyle w:val="Compact"/>
              <w:jc w:val="left"/>
            </w:pPr>
            <w:r>
              <w:t xml:space="preserve">sqm</w:t>
            </w:r>
          </w:p>
        </w:tc>
        <w:tc>
          <w:tcPr/>
          <w:p>
            <w:pPr>
              <w:pStyle w:val="Compact"/>
              <w:jc w:val="left"/>
            </w:pPr>
            <w:r>
              <w:t xml:space="preserve">120</w:t>
            </w:r>
          </w:p>
        </w:tc>
        <w:tc>
          <w:tcPr/>
          <w:p>
            <w:pPr>
              <w:pStyle w:val="Compact"/>
              <w:jc w:val="left"/>
            </w:pPr>
            <w:r>
              <w:t xml:space="preserve">2,400.00</w:t>
            </w:r>
          </w:p>
        </w:tc>
        <w:tc>
          <w:tcPr/>
          <w:p>
            <w:pPr>
              <w:pStyle w:val="Compact"/>
              <w:jc w:val="left"/>
            </w:pPr>
            <w:r>
              <w:t xml:space="preserve">288,000.00</w:t>
            </w:r>
          </w:p>
        </w:tc>
        <w:tc>
          <w:tcPr/>
          <w:p>
            <w:pPr>
              <w:pStyle w:val="Compact"/>
              <w:jc w:val="left"/>
            </w:pPr>
            <w:r>
              <w:t xml:space="preserve">July 15, 2025</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723,200.00</w:t>
            </w:r>
          </w:p>
        </w:tc>
      </w:tr>
      <w:tr>
        <w:tc>
          <w:tcPr/>
          <w:p>
            <w:pPr>
              <w:pStyle w:val="Compact"/>
              <w:jc w:val="left"/>
            </w:pPr>
            <w:r>
              <w:t xml:space="preserve">VAT (12%)</w:t>
            </w:r>
          </w:p>
        </w:tc>
        <w:tc>
          <w:tcPr/>
          <w:p>
            <w:pPr>
              <w:pStyle w:val="Compact"/>
              <w:jc w:val="right"/>
            </w:pPr>
            <w:r>
              <w:t xml:space="preserve">86,784.00</w:t>
            </w:r>
          </w:p>
        </w:tc>
      </w:tr>
      <w:tr>
        <w:tc>
          <w:tcPr/>
          <w:p>
            <w:pPr>
              <w:pStyle w:val="Compact"/>
              <w:jc w:val="left"/>
            </w:pPr>
            <w:r>
              <w:t xml:space="preserve">Delivery &amp; Logistics within Philippines Manila</w:t>
            </w:r>
          </w:p>
        </w:tc>
        <w:tc>
          <w:tcPr/>
          <w:p>
            <w:pPr>
              <w:pStyle w:val="Compact"/>
              <w:jc w:val="right"/>
            </w:pPr>
            <w:r>
              <w:t xml:space="preserve">15,000.00</w:t>
            </w:r>
          </w:p>
        </w:tc>
      </w:tr>
      <w:tr>
        <w:tc>
          <w:tcPr/>
          <w:p>
            <w:pPr>
              <w:pStyle w:val="Compact"/>
              <w:jc w:val="left"/>
            </w:pPr>
            <w:r>
              <w:t xml:space="preserve">Grand Total (PHP)</w:t>
            </w:r>
          </w:p>
        </w:tc>
        <w:tc>
          <w:tcPr/>
          <w:p>
            <w:pPr>
              <w:pStyle w:val="Compact"/>
              <w:jc w:val="right"/>
            </w:pPr>
            <w:r>
              <w:t xml:space="preserve">824,984.00</w:t>
            </w:r>
          </w:p>
        </w:tc>
      </w:tr>
    </w:tbl>
    <w:bookmarkEnd w:id="23"/>
    <w:bookmarkStart w:id="24" w:name="terms-and-conditions"/>
    <w:p>
      <w:pPr>
        <w:pStyle w:val="Heading2"/>
      </w:pPr>
      <w:r>
        <w:t xml:space="preserve">Terms and Conditions</w:t>
      </w:r>
    </w:p>
    <w:p>
      <w:pPr>
        <w:numPr>
          <w:ilvl w:val="0"/>
          <w:numId w:val="1001"/>
        </w:numPr>
        <w:pStyle w:val="Compact"/>
      </w:pPr>
      <w:r>
        <w:rPr>
          <w:bCs/>
          <w:b/>
        </w:rPr>
        <w:t xml:space="preserve">Scope of Work:</w:t>
      </w:r>
      <w:r>
        <w:t xml:space="preserve"> </w:t>
      </w:r>
      <w:r>
        <w:t xml:space="preserve">This Purchase Order authorizes MasterCraft Carpenter Services to perform all carpentry-related fabrication, installation, and finishing works as itemized above at the designated project site in the Philippines Manila area. The Carpenter shall adhere to all specifications, measurements, and design drawings provided by Manila Construction &amp; Interiors Inc.</w:t>
      </w:r>
    </w:p>
    <w:p>
      <w:pPr>
        <w:numPr>
          <w:ilvl w:val="0"/>
          <w:numId w:val="1001"/>
        </w:numPr>
        <w:pStyle w:val="Compact"/>
      </w:pPr>
      <w:r>
        <w:rPr>
          <w:bCs/>
          <w:b/>
        </w:rPr>
        <w:t xml:space="preserve">Payment Terms:</w:t>
      </w:r>
      <w:r>
        <w:t xml:space="preserve"> </w:t>
      </w:r>
      <w:r>
        <w:t xml:space="preserve">Payment shall be made in three (3) installments: 40% upon signing and acceptance of this Purchase Order, 40% upon completion of 75% of the Carpenter work, and the remaining 20% upon final inspection and sign-off. All payments shall be made via bank transfer to the account designated by the Carpenter vendor.</w:t>
      </w:r>
    </w:p>
    <w:p>
      <w:pPr>
        <w:numPr>
          <w:ilvl w:val="0"/>
          <w:numId w:val="1001"/>
        </w:numPr>
        <w:pStyle w:val="Compact"/>
      </w:pPr>
      <w:r>
        <w:rPr>
          <w:bCs/>
          <w:b/>
        </w:rPr>
        <w:t xml:space="preserve">Delivery and Timeline:</w:t>
      </w:r>
      <w:r>
        <w:t xml:space="preserve"> </w:t>
      </w:r>
      <w:r>
        <w:t xml:space="preserve">All Carpenter deliverables must be completed and installed no later than July 15, 2025. The Carpenter is responsible for transporting all materials and finished products to the project site within the Philippines Manila metropolitan area. Any delay beyond the stipulated date shall incur a penalty of 0.5% of the total Purchase Order value per calendar day.</w:t>
      </w:r>
    </w:p>
    <w:p>
      <w:pPr>
        <w:numPr>
          <w:ilvl w:val="0"/>
          <w:numId w:val="1001"/>
        </w:numPr>
        <w:pStyle w:val="Compact"/>
      </w:pPr>
      <w:r>
        <w:rPr>
          <w:bCs/>
          <w:b/>
        </w:rPr>
        <w:t xml:space="preserve">Quality Standards:</w:t>
      </w:r>
      <w:r>
        <w:t xml:space="preserve"> </w:t>
      </w:r>
      <w:r>
        <w:t xml:space="preserve">All woodwork and Carpenter craftsmanship must meet the Philippine National Building Code standards and the specific quality benchmarks outlined in the project annex. The Carpenter shall use only premium-grade, kiln-dried hardwoods sourced from certified suppliers in the Philippines Manila region.</w:t>
      </w:r>
    </w:p>
    <w:p>
      <w:pPr>
        <w:numPr>
          <w:ilvl w:val="0"/>
          <w:numId w:val="1001"/>
        </w:numPr>
        <w:pStyle w:val="Compact"/>
      </w:pPr>
      <w:r>
        <w:rPr>
          <w:bCs/>
          <w:b/>
        </w:rPr>
        <w:t xml:space="preserve">Warranty:</w:t>
      </w:r>
      <w:r>
        <w:t xml:space="preserve"> </w:t>
      </w:r>
      <w:r>
        <w:t xml:space="preserve">The Carpenter provides a two (2) year warranty on all fabricated and installed woodwork. Any defects in materials or workmanship discovered within this period shall be repaired or replaced at no additional cost to the buyer.</w:t>
      </w:r>
    </w:p>
    <w:p>
      <w:pPr>
        <w:numPr>
          <w:ilvl w:val="0"/>
          <w:numId w:val="1001"/>
        </w:numPr>
        <w:pStyle w:val="Compact"/>
      </w:pPr>
      <w:r>
        <w:rPr>
          <w:bCs/>
          <w:b/>
        </w:rPr>
        <w:t xml:space="preserve">Site Access and Safety:</w:t>
      </w:r>
      <w:r>
        <w:t xml:space="preserve"> </w:t>
      </w:r>
      <w:r>
        <w:t xml:space="preserve">The Carpenter and all assigned workers must comply with the site safety protocols of the residential building in BGC, Taguig, Philippines Manila. Valid government-issued IDs and proper PPE are mandatory at all times.</w:t>
      </w:r>
    </w:p>
    <w:p>
      <w:pPr>
        <w:numPr>
          <w:ilvl w:val="0"/>
          <w:numId w:val="1001"/>
        </w:numPr>
        <w:pStyle w:val="Compact"/>
      </w:pPr>
      <w:r>
        <w:rPr>
          <w:bCs/>
          <w:b/>
        </w:rPr>
        <w:t xml:space="preserve">Change Orders:</w:t>
      </w:r>
      <w:r>
        <w:t xml:space="preserve"> </w:t>
      </w:r>
      <w:r>
        <w:t xml:space="preserve">Any modifications to the scope of this Purchase Order must be documented in a written Change Order signed by both parties. No additional Carpenter work shall commence without prior written approval.</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the Philippines. Any disputes shall be resolved through arbitration in the Philippines Manila jurisdiction.</w:t>
      </w:r>
    </w:p>
    <w:bookmarkEnd w:id="24"/>
    <w:bookmarkStart w:id="25" w:name="authorized-signatories"/>
    <w:p>
      <w:pPr>
        <w:pStyle w:val="Heading2"/>
      </w:pPr>
      <w:r>
        <w:t xml:space="preserve">Authorized Signatories</w:t>
      </w:r>
    </w:p>
    <w:p>
      <w:pPr>
        <w:pStyle w:val="FirstParagraph"/>
      </w:pPr>
      <w:r>
        <w:rPr>
          <w:bCs/>
          <w:b/>
        </w:rPr>
        <w:t xml:space="preserve">Prepared by (Buyer):</w:t>
      </w:r>
      <w:r>
        <w:br/>
      </w:r>
      <w:r>
        <w:t xml:space="preserve">Maria L. Gonzales</w:t>
      </w:r>
      <w:r>
        <w:br/>
      </w:r>
      <w:r>
        <w:t xml:space="preserve">Procurement Manager</w:t>
      </w:r>
      <w:r>
        <w:br/>
      </w:r>
      <w:r>
        <w:t xml:space="preserve">Manila Construction &amp; Interiors Inc.</w:t>
      </w:r>
      <w:r>
        <w:br/>
      </w:r>
      <w:r>
        <w:t xml:space="preserve">Date: _______________</w:t>
      </w:r>
    </w:p>
    <w:p>
      <w:pPr>
        <w:pStyle w:val="BodyText"/>
      </w:pPr>
      <w:r>
        <w:rPr>
          <w:bCs/>
          <w:b/>
        </w:rPr>
        <w:t xml:space="preserve">Accepted by (Carpenter Vendor):</w:t>
      </w:r>
      <w:r>
        <w:br/>
      </w:r>
      <w:r>
        <w:t xml:space="preserve">Engr. Rafael D. Santos</w:t>
      </w:r>
      <w:r>
        <w:br/>
      </w:r>
      <w:r>
        <w:t xml:space="preserve">Master Carpenter / Owner</w:t>
      </w:r>
      <w:r>
        <w:br/>
      </w:r>
      <w:r>
        <w:t xml:space="preserve">MasterCraft Carpenter Services</w:t>
      </w:r>
      <w:r>
        <w:br/>
      </w:r>
      <w:r>
        <w:t xml:space="preserve">Date: _______________</w:t>
      </w:r>
    </w:p>
    <w:p>
      <w:pPr>
        <w:pStyle w:val="BodyText"/>
      </w:pPr>
      <w:r>
        <w:t xml:space="preserve">This Purchase Order (PO-MNL-2025-04782) is issued by Manila Construction &amp; Interiors Inc. for Carpenter services to be performed in the Philippines Manila area. This document is valid for thirty (30) days from the date of issue. Unauthorized reproduction or distribution is prohibited. For inquiries, contact the Procurement Department at procurement@manilacoi.com.ph.</w:t>
      </w:r>
    </w:p>
    <w:p>
      <w:pPr>
        <w:pStyle w:val="BodyText"/>
      </w:pPr>
      <w:r>
        <w:t xml:space="preserve">© 2025 Manila Construction &amp; Interiors Inc. All Rights Reserved. | Philippines Manila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Philippines Manila</dc:title>
  <dc:creator/>
  <dc:language>en</dc:language>
  <cp:keywords/>
  <dcterms:created xsi:type="dcterms:W3CDTF">2026-10-10T02:31:00Z</dcterms:created>
  <dcterms:modified xsi:type="dcterms:W3CDTF">2026-10-10T02:31:00Z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