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Document Reference:</w:t>
      </w:r>
      <w:r>
        <w:t xml:space="preserve"> </w:t>
      </w:r>
      <w:r>
        <w:t xml:space="preserve">PO-ANK-2025-04782</w:t>
      </w:r>
    </w:p>
    <w:p>
      <w:pPr>
        <w:pStyle w:val="BodyText"/>
      </w:pPr>
      <w:r>
        <w:rPr>
          <w:bCs/>
          <w:b/>
        </w:rPr>
        <w:t xml:space="preserve">Issuing Entity:</w:t>
      </w:r>
      <w:r>
        <w:t xml:space="preserve"> </w:t>
      </w:r>
      <w:r>
        <w:t xml:space="preserve">Ankara Metropolitan Construction &amp; Development Ltd.</w:t>
      </w:r>
    </w:p>
    <w:p>
      <w:pPr>
        <w:pStyle w:val="BodyText"/>
      </w:pPr>
      <w:r>
        <w:rPr>
          <w:bCs/>
          <w:b/>
        </w:rPr>
        <w:t xml:space="preserve">Location of Work:</w:t>
      </w:r>
      <w:r>
        <w:t xml:space="preserve"> </w:t>
      </w:r>
      <w:r>
        <w:t xml:space="preserve">Turkey Ankara, Çankaya District, Kızılay Avenue, Building 14, Floor 3</w:t>
      </w:r>
    </w:p>
    <w:bookmarkEnd w:id="20"/>
    <w:p>
      <w:pPr>
        <w:pStyle w:val="BodyText"/>
      </w:pPr>
      <w:r>
        <w:rPr>
          <w:bCs/>
          <w:b/>
        </w:rPr>
        <w:t xml:space="preserve">Purchase Order No.:</w:t>
      </w:r>
      <w:r>
        <w:t xml:space="preserve"> </w:t>
      </w:r>
      <w:r>
        <w:t xml:space="preserve">PO-ANK-2025-04782</w:t>
      </w:r>
    </w:p>
    <w:p>
      <w:pPr>
        <w:pStyle w:val="BodyText"/>
      </w:pPr>
      <w:r>
        <w:rPr>
          <w:bCs/>
          <w:b/>
        </w:rPr>
        <w:t xml:space="preserve">Date of Issue:</w:t>
      </w:r>
      <w:r>
        <w:t xml:space="preserve"> </w:t>
      </w:r>
      <w:r>
        <w:t xml:space="preserve">14 June 2025</w:t>
      </w:r>
    </w:p>
    <w:p>
      <w:pPr>
        <w:pStyle w:val="BodyText"/>
      </w:pPr>
      <w:r>
        <w:rPr>
          <w:bCs/>
          <w:b/>
        </w:rPr>
        <w:t xml:space="preserve">Required Delivery/Start Date:</w:t>
      </w:r>
      <w:r>
        <w:t xml:space="preserve"> </w:t>
      </w:r>
      <w:r>
        <w:t xml:space="preserve">01 July 2025</w:t>
      </w:r>
    </w:p>
    <w:p>
      <w:pPr>
        <w:pStyle w:val="BodyText"/>
      </w:pPr>
      <w:r>
        <w:rPr>
          <w:bCs/>
          <w:b/>
        </w:rPr>
        <w:t xml:space="preserve">Completion Deadline:</w:t>
      </w:r>
      <w:r>
        <w:t xml:space="preserve"> </w:t>
      </w:r>
      <w:r>
        <w:t xml:space="preserve">30 September 2025</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Name / 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Party)</w:t>
            </w:r>
          </w:p>
        </w:tc>
        <w:tc>
          <w:tcPr/>
          <w:p>
            <w:pPr>
              <w:pStyle w:val="Compact"/>
              <w:jc w:val="left"/>
            </w:pPr>
            <w:r>
              <w:t xml:space="preserve">Ankara Metropolitan Construction &amp; Development Ltd.</w:t>
            </w:r>
          </w:p>
        </w:tc>
        <w:tc>
          <w:tcPr/>
          <w:p>
            <w:pPr>
              <w:pStyle w:val="Compact"/>
              <w:jc w:val="left"/>
            </w:pPr>
            <w:r>
              <w:t xml:space="preserve">Atatürk Bulvarı No. 210, 06700 Çankaya, Turkey Ankara</w:t>
            </w:r>
          </w:p>
        </w:tc>
        <w:tc>
          <w:tcPr/>
          <w:p>
            <w:pPr>
              <w:pStyle w:val="Compact"/>
              <w:jc w:val="left"/>
            </w:pPr>
            <w:r>
              <w:t xml:space="preserve">procurement@ankarametcon.com.tr | +90 312 445 6789</w:t>
            </w:r>
          </w:p>
        </w:tc>
      </w:tr>
      <w:tr>
        <w:tc>
          <w:tcPr/>
          <w:p>
            <w:pPr>
              <w:pStyle w:val="Compact"/>
              <w:jc w:val="left"/>
            </w:pPr>
            <w:r>
              <w:rPr>
                <w:bCs/>
                <w:b/>
              </w:rPr>
              <w:t xml:space="preserve">Supplier / Service Provider</w:t>
            </w:r>
          </w:p>
        </w:tc>
        <w:tc>
          <w:tcPr/>
          <w:p>
            <w:pPr>
              <w:pStyle w:val="Compact"/>
              <w:jc w:val="left"/>
            </w:pPr>
            <w:r>
              <w:t xml:space="preserve">Usta Kardeşler Carpentry Workshop (Master Brothers Carpentry)</w:t>
            </w:r>
          </w:p>
        </w:tc>
        <w:tc>
          <w:tcPr/>
          <w:p>
            <w:pPr>
              <w:pStyle w:val="Compact"/>
              <w:jc w:val="left"/>
            </w:pPr>
            <w:r>
              <w:t xml:space="preserve">İvedik Organized Industrial Zone, Block 7, No. 42, 06230 Yenimahalle, Turkey Ankara</w:t>
            </w:r>
          </w:p>
        </w:tc>
        <w:tc>
          <w:tcPr/>
          <w:p>
            <w:pPr>
              <w:pStyle w:val="Compact"/>
              <w:jc w:val="left"/>
            </w:pPr>
            <w:r>
              <w:t xml:space="preserve">info@ustakardesler.com.tr | +90 312 334 5678</w:t>
            </w:r>
          </w:p>
        </w:tc>
      </w:tr>
    </w:tbl>
    <w:bookmarkEnd w:id="21"/>
    <w:bookmarkStart w:id="22" w:name="X3c6a88df09696ff261399a79d7548a87f0ff64b"/>
    <w:p>
      <w:pPr>
        <w:pStyle w:val="Heading2"/>
      </w:pPr>
      <w:r>
        <w:t xml:space="preserve">2. Description of Services – Carpenter Engagement</w:t>
      </w:r>
    </w:p>
    <w:p>
      <w:pPr>
        <w:pStyle w:val="FirstParagraph"/>
      </w:pPr>
      <w:r>
        <w:t xml:space="preserve">This</w:t>
      </w:r>
      <w:r>
        <w:t xml:space="preserve"> </w:t>
      </w:r>
      <w:r>
        <w:t xml:space="preserve">Purchase Order</w:t>
      </w:r>
      <w:r>
        <w:t xml:space="preserve"> </w:t>
      </w:r>
      <w:r>
        <w:t xml:space="preserve">is issued by Ankara Metropolitan Construction &amp; Development Ltd. to formally engage the services of a qualified</w:t>
      </w:r>
      <w:r>
        <w:t xml:space="preserve"> </w:t>
      </w:r>
      <w:r>
        <w:t xml:space="preserve">Carpenter</w:t>
      </w:r>
      <w:r>
        <w:t xml:space="preserve"> </w:t>
      </w:r>
      <w:r>
        <w:t xml:space="preserve">and associated carpentry team for the execution of custom woodwork, structural timber framing, interior finishing, and furniture fabrication at the designated project site located in</w:t>
      </w:r>
      <w:r>
        <w:t xml:space="preserve"> </w:t>
      </w:r>
      <w:r>
        <w:t xml:space="preserve">Turkey Ankara</w:t>
      </w:r>
      <w:r>
        <w:t xml:space="preserve">. The</w:t>
      </w:r>
      <w:r>
        <w:t xml:space="preserve"> </w:t>
      </w:r>
      <w:r>
        <w:t xml:space="preserve">Carpenter</w:t>
      </w:r>
      <w:r>
        <w:t xml:space="preserve"> </w:t>
      </w:r>
      <w:r>
        <w:t xml:space="preserve">shall be responsible for all aspects of woodworking as detailed in the line items below, ensuring compliance with Turkish Building Regulations (Türk Yapı Denetim Yönetmeliği) and the specific architectural plans approved by the municipal authority of</w:t>
      </w:r>
      <w:r>
        <w:t xml:space="preserve"> </w:t>
      </w:r>
      <w:r>
        <w:t xml:space="preserve">Turkey Ankara</w:t>
      </w:r>
      <w:r>
        <w:t xml:space="preserve">.</w:t>
      </w:r>
    </w:p>
    <w:p>
      <w:pPr>
        <w:pStyle w:val="BodyText"/>
      </w:pPr>
      <w:r>
        <w:t xml:space="preserve">The</w:t>
      </w:r>
      <w:r>
        <w:t xml:space="preserve"> </w:t>
      </w:r>
      <w:r>
        <w:t xml:space="preserve">Carpenter</w:t>
      </w:r>
      <w:r>
        <w:t xml:space="preserve"> </w:t>
      </w:r>
      <w:r>
        <w:t xml:space="preserve">engaged under this</w:t>
      </w:r>
      <w:r>
        <w:t xml:space="preserve"> </w:t>
      </w:r>
      <w:r>
        <w:t xml:space="preserve">Purchase Order</w:t>
      </w:r>
      <w:r>
        <w:t xml:space="preserve"> </w:t>
      </w:r>
      <w:r>
        <w:t xml:space="preserve">must hold a valid Turkish trade license (esnaf ve sanatkâr sicili) and possess a minimum of ten (10) years of documented experience in commercial and residential carpentry. All work shall be performed within the boundaries of</w:t>
      </w:r>
      <w:r>
        <w:t xml:space="preserve"> </w:t>
      </w:r>
      <w:r>
        <w:t xml:space="preserve">Turkey Ankara</w:t>
      </w:r>
      <w:r>
        <w:t xml:space="preserve">, specifically at the project address listed in Section 1, and shall not be subcontracted without prior written consent from the Buyer.</w:t>
      </w:r>
    </w:p>
    <w:bookmarkEnd w:id="22"/>
    <w:bookmarkStart w:id="23" w:name="line-items-scope-of-carpenter-work"/>
    <w:p>
      <w:pPr>
        <w:pStyle w:val="Heading2"/>
      </w:pPr>
      <w:r>
        <w:t xml:space="preserve">3. Line Items – Scope of Carpenter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Amount (TRY)</w:t>
            </w:r>
          </w:p>
        </w:tc>
      </w:tr>
      <w:tr>
        <w:tc>
          <w:tcPr/>
          <w:p>
            <w:pPr>
              <w:pStyle w:val="Compact"/>
              <w:jc w:val="left"/>
            </w:pPr>
            <w:r>
              <w:t xml:space="preserve">01</w:t>
            </w:r>
          </w:p>
        </w:tc>
        <w:tc>
          <w:tcPr/>
          <w:p>
            <w:pPr>
              <w:pStyle w:val="Compact"/>
              <w:jc w:val="left"/>
            </w:pPr>
            <w:r>
              <w:t xml:space="preserve">Structural timber framing for the second-floor mezzanine, including all joinery, bracing, and load-bearing beam installation at the Turkey Ankara project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Custom oak hardwood flooring installation (solid European oak, 19 mm thickness) covering 320 m² of interior space, including subfloor preparation and finishing</w:t>
            </w:r>
          </w:p>
        </w:tc>
        <w:tc>
          <w:tcPr/>
          <w:p>
            <w:pPr>
              <w:pStyle w:val="Compact"/>
              <w:jc w:val="left"/>
            </w:pPr>
            <w:r>
              <w:t xml:space="preserve">320</w:t>
            </w:r>
          </w:p>
        </w:tc>
        <w:tc>
          <w:tcPr/>
          <w:p>
            <w:pPr>
              <w:pStyle w:val="Compact"/>
              <w:jc w:val="left"/>
            </w:pPr>
            <w:r>
              <w:t xml:space="preserve">m²</w:t>
            </w:r>
          </w:p>
        </w:tc>
        <w:tc>
          <w:tcPr/>
          <w:p>
            <w:pPr>
              <w:pStyle w:val="Compact"/>
              <w:jc w:val="left"/>
            </w:pPr>
            <w:r>
              <w:t xml:space="preserve">1,250.00</w:t>
            </w:r>
          </w:p>
        </w:tc>
        <w:tc>
          <w:tcPr/>
          <w:p>
            <w:pPr>
              <w:pStyle w:val="Compact"/>
              <w:jc w:val="left"/>
            </w:pPr>
            <w:r>
              <w:t xml:space="preserve">400,000.00</w:t>
            </w:r>
          </w:p>
        </w:tc>
      </w:tr>
      <w:tr>
        <w:tc>
          <w:tcPr/>
          <w:p>
            <w:pPr>
              <w:pStyle w:val="Compact"/>
              <w:jc w:val="left"/>
            </w:pPr>
            <w:r>
              <w:t xml:space="preserve">03</w:t>
            </w:r>
          </w:p>
        </w:tc>
        <w:tc>
          <w:tcPr/>
          <w:p>
            <w:pPr>
              <w:pStyle w:val="Compact"/>
              <w:jc w:val="left"/>
            </w:pPr>
            <w:r>
              <w:t xml:space="preserve">Fabrication and installation of 48 custom-built walnut bookshelves (2.4 m height × 1.2 m width each) for the executive library wing</w:t>
            </w:r>
          </w:p>
        </w:tc>
        <w:tc>
          <w:tcPr/>
          <w:p>
            <w:pPr>
              <w:pStyle w:val="Compact"/>
              <w:jc w:val="left"/>
            </w:pPr>
            <w:r>
              <w:t xml:space="preserve">48</w:t>
            </w:r>
          </w:p>
        </w:tc>
        <w:tc>
          <w:tcPr/>
          <w:p>
            <w:pPr>
              <w:pStyle w:val="Compact"/>
              <w:jc w:val="left"/>
            </w:pPr>
            <w:r>
              <w:t xml:space="preserve">Unit</w:t>
            </w:r>
          </w:p>
        </w:tc>
        <w:tc>
          <w:tcPr/>
          <w:p>
            <w:pPr>
              <w:pStyle w:val="Compact"/>
              <w:jc w:val="left"/>
            </w:pPr>
            <w:r>
              <w:t xml:space="preserve">8,500.00</w:t>
            </w:r>
          </w:p>
        </w:tc>
        <w:tc>
          <w:tcPr/>
          <w:p>
            <w:pPr>
              <w:pStyle w:val="Compact"/>
              <w:jc w:val="left"/>
            </w:pPr>
            <w:r>
              <w:t xml:space="preserve">408,000.00</w:t>
            </w:r>
          </w:p>
        </w:tc>
      </w:tr>
      <w:tr>
        <w:tc>
          <w:tcPr/>
          <w:p>
            <w:pPr>
              <w:pStyle w:val="Compact"/>
              <w:jc w:val="left"/>
            </w:pPr>
            <w:r>
              <w:t xml:space="preserve">04</w:t>
            </w:r>
          </w:p>
        </w:tc>
        <w:tc>
          <w:tcPr/>
          <w:p>
            <w:pPr>
              <w:pStyle w:val="Compact"/>
              <w:jc w:val="left"/>
            </w:pPr>
            <w:r>
              <w:t xml:space="preserve">Interior door manufacturing and installation – 22 solid-core mahogany doors with brass hardware, including frames, hinges, and weather sealing</w:t>
            </w:r>
          </w:p>
        </w:tc>
        <w:tc>
          <w:tcPr/>
          <w:p>
            <w:pPr>
              <w:pStyle w:val="Compact"/>
              <w:jc w:val="left"/>
            </w:pPr>
            <w:r>
              <w:t xml:space="preserve">22</w:t>
            </w:r>
          </w:p>
        </w:tc>
        <w:tc>
          <w:tcPr/>
          <w:p>
            <w:pPr>
              <w:pStyle w:val="Compact"/>
              <w:jc w:val="left"/>
            </w:pPr>
            <w:r>
              <w:t xml:space="preserve">Unit</w:t>
            </w:r>
          </w:p>
        </w:tc>
        <w:tc>
          <w:tcPr/>
          <w:p>
            <w:pPr>
              <w:pStyle w:val="Compact"/>
              <w:jc w:val="left"/>
            </w:pPr>
            <w:r>
              <w:t xml:space="preserve">12,000.00</w:t>
            </w:r>
          </w:p>
        </w:tc>
        <w:tc>
          <w:tcPr/>
          <w:p>
            <w:pPr>
              <w:pStyle w:val="Compact"/>
              <w:jc w:val="left"/>
            </w:pPr>
            <w:r>
              <w:t xml:space="preserve">264,000.00</w:t>
            </w:r>
          </w:p>
        </w:tc>
      </w:tr>
      <w:tr>
        <w:tc>
          <w:tcPr/>
          <w:p>
            <w:pPr>
              <w:pStyle w:val="Compact"/>
              <w:jc w:val="left"/>
            </w:pPr>
            <w:r>
              <w:t xml:space="preserve">05</w:t>
            </w:r>
          </w:p>
        </w:tc>
        <w:tc>
          <w:tcPr/>
          <w:p>
            <w:pPr>
              <w:pStyle w:val="Compact"/>
              <w:jc w:val="left"/>
            </w:pPr>
            <w:r>
              <w:t xml:space="preserve">Custom reception desk and waiting-area seating (teak and glass composite), designed per approved architectural drawings for the ground-floor lobby in Turkey Ankara</w:t>
            </w:r>
          </w:p>
        </w:tc>
        <w:tc>
          <w:tcPr/>
          <w:p>
            <w:pPr>
              <w:pStyle w:val="Compact"/>
              <w:jc w:val="left"/>
            </w:pPr>
            <w:r>
              <w:t xml:space="preserve">1</w:t>
            </w:r>
          </w:p>
        </w:tc>
        <w:tc>
          <w:tcPr/>
          <w:p>
            <w:pPr>
              <w:pStyle w:val="Compact"/>
              <w:jc w:val="left"/>
            </w:pPr>
            <w:r>
              <w:t xml:space="preserve">Lot</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On-site supervision, quality inspection, and final finishing by the lead Carpenter for a period of 90 working days</w:t>
            </w:r>
          </w:p>
        </w:tc>
        <w:tc>
          <w:tcPr/>
          <w:p>
            <w:pPr>
              <w:pStyle w:val="Compact"/>
              <w:jc w:val="left"/>
            </w:pPr>
            <w:r>
              <w:t xml:space="preserve">90</w:t>
            </w:r>
          </w:p>
        </w:tc>
        <w:tc>
          <w:tcPr/>
          <w:p>
            <w:pPr>
              <w:pStyle w:val="Compact"/>
              <w:jc w:val="left"/>
            </w:pPr>
            <w:r>
              <w:t xml:space="preserve">Days</w:t>
            </w:r>
          </w:p>
        </w:tc>
        <w:tc>
          <w:tcPr/>
          <w:p>
            <w:pPr>
              <w:pStyle w:val="Compact"/>
              <w:jc w:val="left"/>
            </w:pPr>
            <w:r>
              <w:t xml:space="preserve">2,800.00</w:t>
            </w:r>
          </w:p>
        </w:tc>
        <w:tc>
          <w:tcPr/>
          <w:p>
            <w:pPr>
              <w:pStyle w:val="Compact"/>
              <w:jc w:val="left"/>
            </w:pPr>
            <w:r>
              <w:t xml:space="preserve">252,000.00</w:t>
            </w:r>
          </w:p>
        </w:tc>
      </w:tr>
      <w:tr>
        <w:tc>
          <w:tcPr>
            <w:gridSpan w:val="5"/>
          </w:tcPr>
          <w:p>
            <w:pPr>
              <w:pStyle w:val="Compact"/>
              <w:jc w:val="right"/>
            </w:pPr>
            <w:r>
              <w:t xml:space="preserve">TOTAL AMOUNT (TRY)</w:t>
            </w:r>
          </w:p>
        </w:tc>
        <w:tc>
          <w:tcPr/>
          <w:p>
            <w:pPr>
              <w:pStyle w:val="Compact"/>
              <w:jc w:val="left"/>
            </w:pPr>
            <w:r>
              <w:t xml:space="preserve">1,605,000.00</w:t>
            </w:r>
          </w:p>
        </w:tc>
      </w:tr>
      <w:tr>
        <w:tc>
          <w:tcPr>
            <w:gridSpan w:val="5"/>
          </w:tcPr>
          <w:p>
            <w:pPr>
              <w:pStyle w:val="Compact"/>
              <w:jc w:val="right"/>
            </w:pPr>
            <w:r>
              <w:t xml:space="preserve">VAT (KDV) – 20%</w:t>
            </w:r>
          </w:p>
        </w:tc>
        <w:tc>
          <w:tcPr/>
          <w:p>
            <w:pPr>
              <w:pStyle w:val="Compact"/>
              <w:jc w:val="left"/>
            </w:pPr>
            <w:r>
              <w:t xml:space="preserve">321,000.00</w:t>
            </w:r>
          </w:p>
        </w:tc>
      </w:tr>
      <w:tr>
        <w:tc>
          <w:tcPr>
            <w:gridSpan w:val="5"/>
          </w:tcPr>
          <w:p>
            <w:pPr>
              <w:pStyle w:val="Compact"/>
              <w:jc w:val="right"/>
            </w:pPr>
            <w:r>
              <w:t xml:space="preserve">GRAND TOTAL (TRY)</w:t>
            </w:r>
          </w:p>
        </w:tc>
        <w:tc>
          <w:tcPr/>
          <w:p>
            <w:pPr>
              <w:pStyle w:val="Compact"/>
              <w:jc w:val="left"/>
            </w:pPr>
            <w:r>
              <w:t xml:space="preserve">1,926,000.00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Turkey. Any disputes arising from this Purchase Order shall be subject to the exclusive jurisdiction of the courts in Turkey Ankara.</w:t>
      </w:r>
    </w:p>
    <w:p>
      <w:pPr>
        <w:numPr>
          <w:ilvl w:val="0"/>
          <w:numId w:val="1001"/>
        </w:numPr>
        <w:pStyle w:val="Compact"/>
      </w:pPr>
      <w:r>
        <w:rPr>
          <w:bCs/>
          <w:b/>
        </w:rPr>
        <w:t xml:space="preserve">Payment Terms:</w:t>
      </w:r>
      <w:r>
        <w:t xml:space="preserve"> </w:t>
      </w:r>
      <w:r>
        <w:t xml:space="preserve">Payment shall be made in three (3) installments: 30% upon signing of this Purchase Order, 40% upon completion of structural timber framing and flooring (Items 01 and 02), and 30% upon final acceptance of all Carpenter deliverables. All payments shall be made via bank transfer to the account specified by the Supplier.</w:t>
      </w:r>
    </w:p>
    <w:p>
      <w:pPr>
        <w:numPr>
          <w:ilvl w:val="0"/>
          <w:numId w:val="1001"/>
        </w:numPr>
        <w:pStyle w:val="Compact"/>
      </w:pPr>
      <w:r>
        <w:rPr>
          <w:bCs/>
          <w:b/>
        </w:rPr>
        <w:t xml:space="preserve">Materials:</w:t>
      </w:r>
      <w:r>
        <w:t xml:space="preserve"> </w:t>
      </w:r>
      <w:r>
        <w:t xml:space="preserve">All timber, hardwood, and finishing materials shall be sourced from certified suppliers within Turkey Ankara or its immediate metropolitan region. The Carpenter shall provide material certificates and FSC (Forest Stewardship Council) compliance documentation for all wood products used.</w:t>
      </w:r>
    </w:p>
    <w:p>
      <w:pPr>
        <w:numPr>
          <w:ilvl w:val="0"/>
          <w:numId w:val="1001"/>
        </w:numPr>
        <w:pStyle w:val="Compact"/>
      </w:pPr>
      <w:r>
        <w:rPr>
          <w:bCs/>
          <w:b/>
        </w:rPr>
        <w:t xml:space="preserve">Workmanship Standard:</w:t>
      </w:r>
      <w:r>
        <w:t xml:space="preserve"> </w:t>
      </w:r>
      <w:r>
        <w:t xml:space="preserve">The Carpenter shall ensure that all joinery, finishing, and installation work meets the standards set forth in the Turkish Standards Institution (TSE) guidelines for carpentry and wood products. Any defective work shall be rectified at the Carpenter's own cost within seven (7) calendar days of notification.</w:t>
      </w:r>
    </w:p>
    <w:p>
      <w:pPr>
        <w:numPr>
          <w:ilvl w:val="0"/>
          <w:numId w:val="1001"/>
        </w:numPr>
        <w:pStyle w:val="Compact"/>
      </w:pPr>
      <w:r>
        <w:rPr>
          <w:bCs/>
          <w:b/>
        </w:rPr>
        <w:t xml:space="preserve">Insurance and Liability:</w:t>
      </w:r>
      <w:r>
        <w:t xml:space="preserve"> </w:t>
      </w:r>
      <w:r>
        <w:t xml:space="preserve">The Carpenter shall maintain comprehensive liability insurance and workers' compensation coverage for all personnel operating at the Turkey Ankara project site for the full duration of this Purchase Order. The minimum coverage shall be TRY 5,000,000 per occurrence.</w:t>
      </w:r>
    </w:p>
    <w:p>
      <w:pPr>
        <w:numPr>
          <w:ilvl w:val="0"/>
          <w:numId w:val="1001"/>
        </w:numPr>
        <w:pStyle w:val="Compact"/>
      </w:pPr>
      <w:r>
        <w:rPr>
          <w:bCs/>
          <w:b/>
        </w:rPr>
        <w:t xml:space="preserve">Site Access and Compliance:</w:t>
      </w:r>
      <w:r>
        <w:t xml:space="preserve"> </w:t>
      </w:r>
      <w:r>
        <w:t xml:space="preserve">The Carpenter and all associated workers shall comply with all site safety regulations enforced by the Turkey Ankara municipal authority. Working hours at the site shall be between 08:00 and 18:00, Monday through Saturday. Sunday work requires prior written approval from the Buyer.</w:t>
      </w:r>
    </w:p>
    <w:p>
      <w:pPr>
        <w:numPr>
          <w:ilvl w:val="0"/>
          <w:numId w:val="1001"/>
        </w:numPr>
        <w:pStyle w:val="Compact"/>
      </w:pPr>
      <w:r>
        <w:rPr>
          <w:bCs/>
          <w:b/>
        </w:rPr>
        <w:t xml:space="preserve">Warranty:</w:t>
      </w:r>
      <w:r>
        <w:t xml:space="preserve"> </w:t>
      </w:r>
      <w:r>
        <w:t xml:space="preserve">The Carpenter provides a warranty of twenty-four (24) months on all workmanship and structural carpentry elements. This warranty is in addition to any manufacturer warranties on materials and hardware.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by the Buyer for cause (material breach, failure to meet deadlines, or safety violations), the Buyer shall be entitled to a full refund of any prepayments exceeding the value of work completed to date.</w:t>
      </w:r>
    </w:p>
    <w:p>
      <w:pPr>
        <w:numPr>
          <w:ilvl w:val="0"/>
          <w:numId w:val="1001"/>
        </w:numPr>
        <w:pStyle w:val="Compact"/>
      </w:pPr>
      <w:r>
        <w:rPr>
          <w:bCs/>
          <w:b/>
        </w:rPr>
        <w:t xml:space="preserve">Confidentiality:</w:t>
      </w:r>
      <w:r>
        <w:t xml:space="preserve"> </w:t>
      </w:r>
      <w:r>
        <w:t xml:space="preserve">The Carpenter shall treat all architectural plans, specifications, and proprietary information provided under this Purchase Order as strictly confidential and shall not disclose them to any third party without written consent from the Buyer.</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outlined in this Purchase Order for the engagement of the Carpenter at the Turkey Ankara project site. This document constitutes a binding agreement effective from the date of the last signature.</w:t>
      </w:r>
    </w:p>
    <w:bookmarkEnd w:id="25"/>
    <w:p>
      <w:pPr>
        <w:pStyle w:val="BodyText"/>
      </w:pPr>
      <w:r>
        <w:rPr>
          <w:bCs/>
          <w:b/>
        </w:rPr>
        <w:t xml:space="preserve">For the Buyer:</w:t>
      </w:r>
    </w:p>
    <w:p>
      <w:pPr>
        <w:pStyle w:val="BodyText"/>
      </w:pPr>
      <w:r>
        <w:t xml:space="preserve">Ankara Metropolitan Construction &amp; Development Ltd.</w:t>
      </w:r>
    </w:p>
    <w:p>
      <w:pPr>
        <w:pStyle w:val="BodyText"/>
      </w:pPr>
      <w:r>
        <w:t xml:space="preserve">Name: ______________________________</w:t>
      </w:r>
      <w:r>
        <w:br/>
      </w:r>
      <w:r>
        <w:t xml:space="preserve">Title: Procurement Director</w:t>
      </w:r>
      <w:r>
        <w:br/>
      </w:r>
      <w:r>
        <w:t xml:space="preserve">Signature: ______________________________</w:t>
      </w:r>
      <w:r>
        <w:br/>
      </w:r>
      <w:r>
        <w:t xml:space="preserve">Date: ______________________________</w:t>
      </w:r>
    </w:p>
    <w:p>
      <w:pPr>
        <w:pStyle w:val="BodyText"/>
      </w:pPr>
      <w:r>
        <w:rPr>
          <w:bCs/>
          <w:b/>
        </w:rPr>
        <w:t xml:space="preserve">For the Supplier / Carpenter:</w:t>
      </w:r>
    </w:p>
    <w:p>
      <w:pPr>
        <w:pStyle w:val="BodyText"/>
      </w:pPr>
      <w:r>
        <w:t xml:space="preserve">Usta Kardeşler Carpentry Workshop</w:t>
      </w:r>
    </w:p>
    <w:p>
      <w:pPr>
        <w:pStyle w:val="BodyText"/>
      </w:pPr>
      <w:r>
        <w:t xml:space="preserve">Name: ______________________________</w:t>
      </w:r>
      <w:r>
        <w:br/>
      </w:r>
      <w:r>
        <w:t xml:space="preserve">Title: Lead Carpenter / Workshop Owner</w:t>
      </w:r>
      <w:r>
        <w:br/>
      </w:r>
      <w:r>
        <w:t xml:space="preserve">Signature: ______________________________</w:t>
      </w:r>
      <w:r>
        <w:br/>
      </w:r>
      <w:r>
        <w:t xml:space="preserve">Date: ______________________________</w:t>
      </w:r>
    </w:p>
    <w:p>
      <w:pPr>
        <w:pStyle w:val="BodyText"/>
      </w:pPr>
      <w:r>
        <w:t xml:space="preserve">This Purchase Order (PO-ANK-2025-04782) was issued by Ankara Metropolitan Construction &amp; Development Ltd., Turkey Ankara. All communications regarding this Purchase Order shall be directed to the procurement department at the address listed above. This document is valid for a period of ninety (90) days from the date of issue.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Turkey Ankara</dc:title>
  <dc:creator/>
  <dc:language>en</dc:language>
  <cp:keywords/>
  <dcterms:created xsi:type="dcterms:W3CDTF">2026-10-10T02:22:59Z</dcterms:created>
  <dcterms:modified xsi:type="dcterms:W3CDTF">2026-10-10T02:22:59Z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