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8" w:name="purchase-order"/>
    <w:p>
      <w:pPr>
        <w:pStyle w:val="Heading1"/>
      </w:pPr>
      <w:r>
        <w:t xml:space="preserve">PURCHASE ORDER</w:t>
      </w:r>
    </w:p>
    <w:p>
      <w:pPr>
        <w:pStyle w:val="FirstParagraph"/>
      </w:pPr>
      <w:r>
        <w:t xml:space="preserve">Carpenter Services — United States Houston, Texas</w:t>
      </w:r>
    </w:p>
    <w:bookmarkStart w:id="20" w:name="issuing-company"/>
    <w:p>
      <w:pPr>
        <w:pStyle w:val="Heading3"/>
      </w:pPr>
      <w:r>
        <w:t xml:space="preserve">Issuing Company</w:t>
      </w:r>
    </w:p>
    <w:p>
      <w:pPr>
        <w:pStyle w:val="FirstParagraph"/>
      </w:pPr>
      <w:r>
        <w:rPr>
          <w:bCs/>
          <w:b/>
        </w:rPr>
        <w:t xml:space="preserve">Bayou City Construction Group, LLC</w:t>
      </w:r>
      <w:r>
        <w:br/>
      </w:r>
      <w:r>
        <w:t xml:space="preserve">4820 Westheimer Road, Suite 310</w:t>
      </w:r>
      <w:r>
        <w:br/>
      </w:r>
      <w:r>
        <w:t xml:space="preserve">Houston, Texas 77056</w:t>
      </w:r>
      <w:r>
        <w:br/>
      </w:r>
      <w:r>
        <w:t xml:space="preserve">United States</w:t>
      </w:r>
      <w:r>
        <w:br/>
      </w:r>
      <w:r>
        <w:t xml:space="preserve">Phone: (713) 555-0142</w:t>
      </w:r>
      <w:r>
        <w:br/>
      </w:r>
      <w:r>
        <w:t xml:space="preserve">Email: procurement@bayoucityconstruction.com</w:t>
      </w:r>
      <w:r>
        <w:br/>
      </w:r>
      <w:r>
        <w:t xml:space="preserve">Tax ID (EIN): 74-2839105</w:t>
      </w:r>
    </w:p>
    <w:bookmarkEnd w:id="20"/>
    <w:bookmarkStart w:id="21" w:name="purchase-order-details"/>
    <w:p>
      <w:pPr>
        <w:pStyle w:val="Heading3"/>
      </w:pPr>
      <w:r>
        <w:t xml:space="preserve">Purchase Order Details</w:t>
      </w:r>
    </w:p>
    <w:p>
      <w:pPr>
        <w:pStyle w:val="FirstParagraph"/>
      </w:pPr>
      <w:r>
        <w:t xml:space="preserve">PO No. BCG-2025-04782</w:t>
      </w:r>
    </w:p>
    <w:p>
      <w:pPr>
        <w:pStyle w:val="BodyText"/>
      </w:pPr>
      <w:r>
        <w:rPr>
          <w:bCs/>
          <w:b/>
        </w:rPr>
        <w:t xml:space="preserve">Date of Issue:</w:t>
      </w:r>
      <w:r>
        <w:t xml:space="preserve"> </w:t>
      </w:r>
      <w:r>
        <w:t xml:space="preserve">June 12, 2025</w:t>
      </w:r>
      <w:r>
        <w:br/>
      </w:r>
      <w:r>
        <w:rPr>
          <w:bCs/>
          <w:b/>
        </w:rPr>
        <w:t xml:space="preserve">Required Completion Date:</w:t>
      </w:r>
      <w:r>
        <w:t xml:space="preserve"> </w:t>
      </w:r>
      <w:r>
        <w:t xml:space="preserve">August 15, 2025</w:t>
      </w:r>
      <w:r>
        <w:br/>
      </w:r>
      <w:r>
        <w:rPr>
          <w:bCs/>
          <w:b/>
        </w:rPr>
        <w:t xml:space="preserve">Project Location:</w:t>
      </w:r>
      <w:r>
        <w:t xml:space="preserve"> </w:t>
      </w:r>
      <w:r>
        <w:t xml:space="preserve">2200 Post Oak Boulevard, Houston, TX 77056</w:t>
      </w:r>
      <w:r>
        <w:br/>
      </w:r>
      <w:r>
        <w:rPr>
          <w:bCs/>
          <w:b/>
        </w:rPr>
        <w:t xml:space="preserve">United States Houston</w:t>
      </w:r>
      <w:r>
        <w:t xml:space="preserve"> </w:t>
      </w:r>
      <w:r>
        <w:t xml:space="preserve">Metropolitan Area</w:t>
      </w:r>
      <w:r>
        <w:br/>
      </w:r>
      <w:r>
        <w:rPr>
          <w:bCs/>
          <w:b/>
        </w:rPr>
        <w:t xml:space="preserve">Payment Terms:</w:t>
      </w:r>
      <w:r>
        <w:t xml:space="preserve"> </w:t>
      </w:r>
      <w:r>
        <w:t xml:space="preserve">Net 30 Days</w:t>
      </w:r>
      <w:r>
        <w:br/>
      </w:r>
      <w:r>
        <w:rPr>
          <w:bCs/>
          <w:b/>
        </w:rPr>
        <w:t xml:space="preserve">Authorized By:</w:t>
      </w:r>
      <w:r>
        <w:t xml:space="preserve"> </w:t>
      </w:r>
      <w:r>
        <w:t xml:space="preserve">Margaret T. Ellison, Procurement Director</w:t>
      </w:r>
    </w:p>
    <w:bookmarkEnd w:id="21"/>
    <w:bookmarkStart w:id="22" w:name="vendor-contractor-information"/>
    <w:p>
      <w:pPr>
        <w:pStyle w:val="Heading2"/>
      </w:pPr>
      <w:r>
        <w:t xml:space="preserve">Vendor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Contractor Name</w:t>
            </w:r>
          </w:p>
        </w:tc>
        <w:tc>
          <w:tcPr/>
          <w:p>
            <w:pPr>
              <w:pStyle w:val="Compact"/>
              <w:jc w:val="left"/>
            </w:pPr>
            <w:r>
              <w:t xml:space="preserve">James R. Calloway, Master Carpenter</w:t>
            </w:r>
          </w:p>
        </w:tc>
      </w:tr>
      <w:tr>
        <w:tc>
          <w:tcPr/>
          <w:p>
            <w:pPr>
              <w:pStyle w:val="Compact"/>
              <w:jc w:val="left"/>
            </w:pPr>
            <w:r>
              <w:t xml:space="preserve">Business Name</w:t>
            </w:r>
          </w:p>
        </w:tc>
        <w:tc>
          <w:tcPr/>
          <w:p>
            <w:pPr>
              <w:pStyle w:val="Compact"/>
              <w:jc w:val="left"/>
            </w:pPr>
            <w:r>
              <w:t xml:space="preserve">Calloway Custom Carpentry &amp; Millwork, Inc.</w:t>
            </w:r>
          </w:p>
        </w:tc>
      </w:tr>
      <w:tr>
        <w:tc>
          <w:tcPr/>
          <w:p>
            <w:pPr>
              <w:pStyle w:val="Compact"/>
              <w:jc w:val="left"/>
            </w:pPr>
            <w:r>
              <w:t xml:space="preserve">Address</w:t>
            </w:r>
          </w:p>
        </w:tc>
        <w:tc>
          <w:tcPr/>
          <w:p>
            <w:pPr>
              <w:pStyle w:val="Compact"/>
              <w:jc w:val="left"/>
            </w:pPr>
            <w:r>
              <w:t xml:space="preserve">1147 South Loop West, Houston, Texas 77027, United States</w:t>
            </w:r>
          </w:p>
        </w:tc>
      </w:tr>
      <w:tr>
        <w:tc>
          <w:tcPr/>
          <w:p>
            <w:pPr>
              <w:pStyle w:val="Compact"/>
              <w:jc w:val="left"/>
            </w:pPr>
            <w:r>
              <w:t xml:space="preserve">Phone</w:t>
            </w:r>
          </w:p>
        </w:tc>
        <w:tc>
          <w:tcPr/>
          <w:p>
            <w:pPr>
              <w:pStyle w:val="Compact"/>
              <w:jc w:val="left"/>
            </w:pPr>
            <w:r>
              <w:t xml:space="preserve">(713) 555-0287</w:t>
            </w:r>
          </w:p>
        </w:tc>
      </w:tr>
      <w:tr>
        <w:tc>
          <w:tcPr/>
          <w:p>
            <w:pPr>
              <w:pStyle w:val="Compact"/>
              <w:jc w:val="left"/>
            </w:pPr>
            <w:r>
              <w:t xml:space="preserve">Email</w:t>
            </w:r>
          </w:p>
        </w:tc>
        <w:tc>
          <w:tcPr/>
          <w:p>
            <w:pPr>
              <w:pStyle w:val="Compact"/>
              <w:jc w:val="left"/>
            </w:pPr>
            <w:r>
              <w:t xml:space="preserve">jc@callowaycarpentry.com</w:t>
            </w:r>
          </w:p>
        </w:tc>
      </w:tr>
      <w:tr>
        <w:tc>
          <w:tcPr/>
          <w:p>
            <w:pPr>
              <w:pStyle w:val="Compact"/>
              <w:jc w:val="left"/>
            </w:pPr>
            <w:r>
              <w:t xml:space="preserve">Texas Contractor License</w:t>
            </w:r>
          </w:p>
        </w:tc>
        <w:tc>
          <w:tcPr/>
          <w:p>
            <w:pPr>
              <w:pStyle w:val="Compact"/>
              <w:jc w:val="left"/>
            </w:pPr>
            <w:r>
              <w:t xml:space="preserve">TX-48291-C (Residential &amp; Commercial)</w:t>
            </w:r>
          </w:p>
        </w:tc>
      </w:tr>
      <w:tr>
        <w:tc>
          <w:tcPr/>
          <w:p>
            <w:pPr>
              <w:pStyle w:val="Compact"/>
              <w:jc w:val="left"/>
            </w:pPr>
            <w:r>
              <w:t xml:space="preserve">Federal Tax ID (EIN)</w:t>
            </w:r>
          </w:p>
        </w:tc>
        <w:tc>
          <w:tcPr/>
          <w:p>
            <w:pPr>
              <w:pStyle w:val="Compact"/>
              <w:jc w:val="left"/>
            </w:pPr>
            <w:r>
              <w:t xml:space="preserve">75-6612034</w:t>
            </w:r>
          </w:p>
        </w:tc>
      </w:tr>
      <w:tr>
        <w:tc>
          <w:tcPr/>
          <w:p>
            <w:pPr>
              <w:pStyle w:val="Compact"/>
              <w:jc w:val="left"/>
            </w:pPr>
            <w:r>
              <w:t xml:space="preserve">Insurance</w:t>
            </w:r>
          </w:p>
        </w:tc>
        <w:tc>
          <w:tcPr/>
          <w:p>
            <w:pPr>
              <w:pStyle w:val="Compact"/>
              <w:jc w:val="left"/>
            </w:pPr>
            <w:r>
              <w:t xml:space="preserve">General Liability: $2,000,000 | Workers' Comp: Active | Bond: $500,000</w:t>
            </w:r>
          </w:p>
        </w:tc>
      </w:tr>
    </w:tbl>
    <w:bookmarkEnd w:id="22"/>
    <w:bookmarkStart w:id="23" w:name="description-of-purchase-order"/>
    <w:p>
      <w:pPr>
        <w:pStyle w:val="Heading2"/>
      </w:pPr>
      <w:r>
        <w:t xml:space="preserve">Description of Purchase Order</w:t>
      </w:r>
    </w:p>
    <w:p>
      <w:pPr>
        <w:pStyle w:val="FirstParagraph"/>
      </w:pPr>
      <w:r>
        <w:t xml:space="preserve">This Purchase Order (PO) is issued by Bayou City Construction Group, LLC, a general contracting firm headquartered in United States Houston, Texas, to engage the services of James R. Calloway, a licensed Master Carpenter operating under the trade name Calloway Custom Carpentry &amp; Millwork, Inc. This Purchase Order authorizes the Carpenter to perform specialized carpentry, millwork fabrication, and structural woodwork services at the project site located at 2200 Post Oak Boulevard in the United States Houston metropolitan area. The Carpenter shall furnish all labor, tools, equipment, and consumable materials necessary to complete the scope of work described herein in accordance with the specifications, timelines, and quality standards set forth in this Purchase Order and the attached project drawings (Appendix A).</w:t>
      </w:r>
    </w:p>
    <w:p>
      <w:pPr>
        <w:pStyle w:val="BodyText"/>
      </w:pPr>
      <w:r>
        <w:t xml:space="preserve">The Carpenter acknowledges that all work performed under this Purchase Order shall comply with the International Building Code (IBC) as adopted by the City of Houston, the Texas Department of Housing and Community Affairs (TDHCA) regulations, and all applicable United States federal and Texas state labor laws. The Carpenter shall obtain and maintain all required permits, inspections, and certifications specific to the United States Houston jurisdiction throughout the duration of this engagement.</w:t>
      </w:r>
    </w:p>
    <w:bookmarkEnd w:id="23"/>
    <w:bookmarkStart w:id="24" w:name="line-items-scope-of-work"/>
    <w:p>
      <w:pPr>
        <w:pStyle w:val="Heading2"/>
      </w:pPr>
      <w:r>
        <w:t xml:space="preserve">Line Items &amp;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Carpenter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Fabrication and installation of custom hardwood millwork (oak and walnut) for executive office suite, including crown molding, wainscoting, built-in shelving, and door casings. Carpenter to supply all lumber, hardware, and finishing materials.</w:t>
            </w:r>
          </w:p>
        </w:tc>
        <w:tc>
          <w:tcPr/>
          <w:p>
            <w:pPr>
              <w:pStyle w:val="Compact"/>
              <w:jc w:val="left"/>
            </w:pPr>
            <w:r>
              <w:t xml:space="preserve">LF</w:t>
            </w:r>
          </w:p>
        </w:tc>
        <w:tc>
          <w:tcPr/>
          <w:p>
            <w:pPr>
              <w:pStyle w:val="Compact"/>
              <w:jc w:val="left"/>
            </w:pPr>
            <w:r>
              <w:t xml:space="preserve">420</w:t>
            </w:r>
          </w:p>
        </w:tc>
        <w:tc>
          <w:tcPr/>
          <w:p>
            <w:pPr>
              <w:pStyle w:val="Compact"/>
              <w:jc w:val="left"/>
            </w:pPr>
            <w:r>
              <w:t xml:space="preserve">$38.50</w:t>
            </w:r>
          </w:p>
        </w:tc>
        <w:tc>
          <w:tcPr/>
          <w:p>
            <w:pPr>
              <w:pStyle w:val="Compact"/>
              <w:jc w:val="left"/>
            </w:pPr>
            <w:r>
              <w:t xml:space="preserve">$16,170.00</w:t>
            </w:r>
          </w:p>
        </w:tc>
      </w:tr>
      <w:tr>
        <w:tc>
          <w:tcPr/>
          <w:p>
            <w:pPr>
              <w:pStyle w:val="Compact"/>
              <w:jc w:val="left"/>
            </w:pPr>
            <w:r>
              <w:t xml:space="preserve">2</w:t>
            </w:r>
          </w:p>
        </w:tc>
        <w:tc>
          <w:tcPr/>
          <w:p>
            <w:pPr>
              <w:pStyle w:val="Compact"/>
              <w:jc w:val="left"/>
            </w:pPr>
            <w:r>
              <w:t xml:space="preserve">Structural carpentry: framing and reinforcement of second-floor load-bearing walls per engineering drawings. Carpenter to provide all dimensional lumber, joists, and structural connectors.</w:t>
            </w:r>
          </w:p>
        </w:tc>
        <w:tc>
          <w:tcPr/>
          <w:p>
            <w:pPr>
              <w:pStyle w:val="Compact"/>
              <w:jc w:val="left"/>
            </w:pPr>
            <w:r>
              <w:t xml:space="preserve">LF</w:t>
            </w:r>
          </w:p>
        </w:tc>
        <w:tc>
          <w:tcPr/>
          <w:p>
            <w:pPr>
              <w:pStyle w:val="Compact"/>
              <w:jc w:val="left"/>
            </w:pPr>
            <w:r>
              <w:t xml:space="preserve">185</w:t>
            </w:r>
          </w:p>
        </w:tc>
        <w:tc>
          <w:tcPr/>
          <w:p>
            <w:pPr>
              <w:pStyle w:val="Compact"/>
              <w:jc w:val="left"/>
            </w:pPr>
            <w:r>
              <w:t xml:space="preserve">$52.00</w:t>
            </w:r>
          </w:p>
        </w:tc>
        <w:tc>
          <w:tcPr/>
          <w:p>
            <w:pPr>
              <w:pStyle w:val="Compact"/>
              <w:jc w:val="left"/>
            </w:pPr>
            <w:r>
              <w:t xml:space="preserve">$9,620.00</w:t>
            </w:r>
          </w:p>
        </w:tc>
      </w:tr>
      <w:tr>
        <w:tc>
          <w:tcPr/>
          <w:p>
            <w:pPr>
              <w:pStyle w:val="Compact"/>
              <w:jc w:val="left"/>
            </w:pPr>
            <w:r>
              <w:t xml:space="preserve">3</w:t>
            </w:r>
          </w:p>
        </w:tc>
        <w:tc>
          <w:tcPr/>
          <w:p>
            <w:pPr>
              <w:pStyle w:val="Compact"/>
              <w:jc w:val="left"/>
            </w:pPr>
            <w:r>
              <w:t xml:space="preserve">Installation of custom cedar exterior entry doors (3 units) with stainless steel hardware, weatherstripping, and threshold systems. Carpenter to perform all rough carpentry, trim, and final adjustments.</w:t>
            </w:r>
          </w:p>
        </w:tc>
        <w:tc>
          <w:tcPr/>
          <w:p>
            <w:pPr>
              <w:pStyle w:val="Compact"/>
              <w:jc w:val="left"/>
            </w:pPr>
            <w:r>
              <w:t xml:space="preserve">EA</w:t>
            </w:r>
          </w:p>
        </w:tc>
        <w:tc>
          <w:tcPr/>
          <w:p>
            <w:pPr>
              <w:pStyle w:val="Compact"/>
              <w:jc w:val="left"/>
            </w:pPr>
            <w:r>
              <w:t xml:space="preserve">3</w:t>
            </w:r>
          </w:p>
        </w:tc>
        <w:tc>
          <w:tcPr/>
          <w:p>
            <w:pPr>
              <w:pStyle w:val="Compact"/>
              <w:jc w:val="left"/>
            </w:pPr>
            <w:r>
              <w:t xml:space="preserve">$2,850.00</w:t>
            </w:r>
          </w:p>
        </w:tc>
        <w:tc>
          <w:tcPr/>
          <w:p>
            <w:pPr>
              <w:pStyle w:val="Compact"/>
              <w:jc w:val="left"/>
            </w:pPr>
            <w:r>
              <w:t xml:space="preserve">$8,550.00</w:t>
            </w:r>
          </w:p>
        </w:tc>
      </w:tr>
      <w:tr>
        <w:tc>
          <w:tcPr/>
          <w:p>
            <w:pPr>
              <w:pStyle w:val="Compact"/>
              <w:jc w:val="left"/>
            </w:pPr>
            <w:r>
              <w:t xml:space="preserve">4</w:t>
            </w:r>
          </w:p>
        </w:tc>
        <w:tc>
          <w:tcPr/>
          <w:p>
            <w:pPr>
              <w:pStyle w:val="Compact"/>
              <w:jc w:val="left"/>
            </w:pPr>
            <w:r>
              <w:t xml:space="preserve">Construction of built-in kitchen cabinetry (14 linear feet) including base cabinets, wall cabinets, island unit, and integrated appliance panels. Carpenter to supply all plywood, hardwood veneers, and hardware.</w:t>
            </w:r>
          </w:p>
        </w:tc>
        <w:tc>
          <w:tcPr/>
          <w:p>
            <w:pPr>
              <w:pStyle w:val="Compact"/>
              <w:jc w:val="left"/>
            </w:pPr>
            <w:r>
              <w:t xml:space="preserve">LF</w:t>
            </w:r>
          </w:p>
        </w:tc>
        <w:tc>
          <w:tcPr/>
          <w:p>
            <w:pPr>
              <w:pStyle w:val="Compact"/>
              <w:jc w:val="left"/>
            </w:pPr>
            <w:r>
              <w:t xml:space="preserve">14</w:t>
            </w:r>
          </w:p>
        </w:tc>
        <w:tc>
          <w:tcPr/>
          <w:p>
            <w:pPr>
              <w:pStyle w:val="Compact"/>
              <w:jc w:val="left"/>
            </w:pPr>
            <w:r>
              <w:t xml:space="preserve">$1,240.00</w:t>
            </w:r>
          </w:p>
        </w:tc>
        <w:tc>
          <w:tcPr/>
          <w:p>
            <w:pPr>
              <w:pStyle w:val="Compact"/>
              <w:jc w:val="left"/>
            </w:pPr>
            <w:r>
              <w:t xml:space="preserve">$17,360.00</w:t>
            </w:r>
          </w:p>
        </w:tc>
      </w:tr>
      <w:tr>
        <w:tc>
          <w:tcPr/>
          <w:p>
            <w:pPr>
              <w:pStyle w:val="Compact"/>
              <w:jc w:val="left"/>
            </w:pPr>
            <w:r>
              <w:t xml:space="preserve">5</w:t>
            </w:r>
          </w:p>
        </w:tc>
        <w:tc>
          <w:tcPr/>
          <w:p>
            <w:pPr>
              <w:pStyle w:val="Compact"/>
              <w:jc w:val="left"/>
            </w:pPr>
            <w:r>
              <w:t xml:space="preserve">Repair and restoration of historic woodwork in the building's original 1923 lobby, including hand-matched walnut paneling, decorative rosettes, and balustrade spindles. Carpenter to perform all matching, staining, and varnishing.</w:t>
            </w:r>
          </w:p>
        </w:tc>
        <w:tc>
          <w:tcPr/>
          <w:p>
            <w:pPr>
              <w:pStyle w:val="Compact"/>
              <w:jc w:val="left"/>
            </w:pPr>
            <w:r>
              <w:t xml:space="preserve">LS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6</w:t>
            </w:r>
          </w:p>
        </w:tc>
        <w:tc>
          <w:tcPr/>
          <w:p>
            <w:pPr>
              <w:pStyle w:val="Compact"/>
              <w:jc w:val="left"/>
            </w:pPr>
            <w:r>
              <w:t xml:space="preserve">Installation of engineered hardwood flooring (white oak, 7" plank) in 3,200 sq. ft. of commercial space. Carpenter to perform subfloor preparation, acclimation, installation, and finishing.</w:t>
            </w:r>
          </w:p>
        </w:tc>
        <w:tc>
          <w:tcPr/>
          <w:p>
            <w:pPr>
              <w:pStyle w:val="Compact"/>
              <w:jc w:val="left"/>
            </w:pPr>
            <w:r>
              <w:t xml:space="preserve">SF</w:t>
            </w:r>
          </w:p>
        </w:tc>
        <w:tc>
          <w:tcPr/>
          <w:p>
            <w:pPr>
              <w:pStyle w:val="Compact"/>
              <w:jc w:val="left"/>
            </w:pPr>
            <w:r>
              <w:t xml:space="preserve">3,200</w:t>
            </w:r>
          </w:p>
        </w:tc>
        <w:tc>
          <w:tcPr/>
          <w:p>
            <w:pPr>
              <w:pStyle w:val="Compact"/>
              <w:jc w:val="left"/>
            </w:pPr>
            <w:r>
              <w:t xml:space="preserve">$4.85</w:t>
            </w:r>
          </w:p>
        </w:tc>
        <w:tc>
          <w:tcPr/>
          <w:p>
            <w:pPr>
              <w:pStyle w:val="Compact"/>
              <w:jc w:val="left"/>
            </w:pPr>
            <w:r>
              <w:t xml:space="preserve">$15,520.00</w:t>
            </w:r>
          </w:p>
        </w:tc>
      </w:tr>
      <w:tr>
        <w:tc>
          <w:tcPr/>
          <w:p>
            <w:pPr>
              <w:pStyle w:val="Compact"/>
              <w:jc w:val="left"/>
            </w:pPr>
            <w:r>
              <w:t xml:space="preserve">7</w:t>
            </w:r>
          </w:p>
        </w:tc>
        <w:tc>
          <w:tcPr/>
          <w:p>
            <w:pPr>
              <w:pStyle w:val="Compact"/>
              <w:jc w:val="left"/>
            </w:pPr>
            <w:r>
              <w:t xml:space="preserve">General carpentry labor: site cleanup, material staging, debris removal, and daily coordination with general contractor. Carpenter to maintain a clean and safe worksite per OSHA standards.</w:t>
            </w:r>
          </w:p>
        </w:tc>
        <w:tc>
          <w:tcPr/>
          <w:p>
            <w:pPr>
              <w:pStyle w:val="Compact"/>
              <w:jc w:val="left"/>
            </w:pPr>
            <w:r>
              <w:t xml:space="preserve">HR</w:t>
            </w:r>
          </w:p>
        </w:tc>
        <w:tc>
          <w:tcPr/>
          <w:p>
            <w:pPr>
              <w:pStyle w:val="Compact"/>
              <w:jc w:val="left"/>
            </w:pPr>
            <w:r>
              <w:t xml:space="preserve">320</w:t>
            </w:r>
          </w:p>
        </w:tc>
        <w:tc>
          <w:tcPr/>
          <w:p>
            <w:pPr>
              <w:pStyle w:val="Compact"/>
              <w:jc w:val="left"/>
            </w:pPr>
            <w:r>
              <w:t xml:space="preserve">$45.00</w:t>
            </w:r>
          </w:p>
        </w:tc>
        <w:tc>
          <w:tcPr/>
          <w:p>
            <w:pPr>
              <w:pStyle w:val="Compact"/>
              <w:jc w:val="left"/>
            </w:pPr>
            <w:r>
              <w:t xml:space="preserve">$14,400.00</w:t>
            </w:r>
          </w:p>
        </w:tc>
      </w:tr>
    </w:tbl>
    <w:bookmarkEnd w:id="24"/>
    <w:bookmarkStart w:id="25" w:name="cost-summary"/>
    <w:p>
      <w:pPr>
        <w:pStyle w:val="Heading2"/>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$94,020.00</w:t>
            </w:r>
          </w:p>
        </w:tc>
      </w:tr>
      <w:tr>
        <w:tc>
          <w:tcPr/>
          <w:p>
            <w:pPr>
              <w:pStyle w:val="Compact"/>
              <w:jc w:val="left"/>
            </w:pPr>
            <w:r>
              <w:t xml:space="preserve">Texas Sales Tax (8.25% on materials)</w:t>
            </w:r>
          </w:p>
        </w:tc>
        <w:tc>
          <w:tcPr/>
          <w:p>
            <w:pPr>
              <w:pStyle w:val="Compact"/>
              <w:jc w:val="right"/>
            </w:pPr>
            <w:r>
              <w:t xml:space="preserve">$5,236.13</w:t>
            </w:r>
          </w:p>
        </w:tc>
      </w:tr>
      <w:tr>
        <w:tc>
          <w:tcPr/>
          <w:p>
            <w:pPr>
              <w:pStyle w:val="Compact"/>
              <w:jc w:val="left"/>
            </w:pPr>
            <w:r>
              <w:t xml:space="preserve">Permit &amp; Inspection Fees (City of Houston)</w:t>
            </w:r>
          </w:p>
        </w:tc>
        <w:tc>
          <w:tcPr/>
          <w:p>
            <w:pPr>
              <w:pStyle w:val="Compact"/>
              <w:jc w:val="right"/>
            </w:pPr>
            <w:r>
              <w:t xml:space="preserve">$1,850.00</w:t>
            </w:r>
          </w:p>
        </w:tc>
      </w:tr>
      <w:tr>
        <w:tc>
          <w:tcPr/>
          <w:p>
            <w:pPr>
              <w:pStyle w:val="Compact"/>
              <w:jc w:val="left"/>
            </w:pPr>
            <w:r>
              <w:t xml:space="preserve">Contingency (5%)</w:t>
            </w:r>
          </w:p>
        </w:tc>
        <w:tc>
          <w:tcPr/>
          <w:p>
            <w:pPr>
              <w:pStyle w:val="Compact"/>
              <w:jc w:val="right"/>
            </w:pPr>
            <w:r>
              <w:t xml:space="preserve">$4,701.00</w:t>
            </w:r>
          </w:p>
        </w:tc>
      </w:tr>
      <w:tr>
        <w:tc>
          <w:tcPr/>
          <w:p>
            <w:pPr>
              <w:pStyle w:val="Compact"/>
              <w:jc w:val="left"/>
            </w:pPr>
            <w:r>
              <w:t xml:space="preserve">TOTAL PURCHASE ORDER AMOUNT</w:t>
            </w:r>
          </w:p>
        </w:tc>
        <w:tc>
          <w:tcPr/>
          <w:p>
            <w:pPr>
              <w:pStyle w:val="Compact"/>
              <w:jc w:val="right"/>
            </w:pPr>
            <w:r>
              <w:t xml:space="preserve">$105,807.13</w:t>
            </w:r>
          </w:p>
        </w:tc>
      </w:tr>
    </w:tbl>
    <w:bookmarkEnd w:id="25"/>
    <w:bookmarkStart w:id="26" w:name="terms-and-conditions"/>
    <w:p>
      <w:pPr>
        <w:pStyle w:val="Heading2"/>
      </w:pPr>
      <w:r>
        <w:t xml:space="preserve">Terms and Conditions</w:t>
      </w:r>
    </w:p>
    <w:p>
      <w:pPr>
        <w:pStyle w:val="FirstParagraph"/>
      </w:pPr>
      <w:r>
        <w:t xml:space="preserve">1.</w:t>
      </w:r>
      <w:r>
        <w:t xml:space="preserve"> </w:t>
      </w:r>
      <w:r>
        <w:rPr>
          <w:bCs/>
          <w:b/>
        </w:rPr>
        <w:t xml:space="preserve">Acceptance:</w:t>
      </w:r>
      <w:r>
        <w:t xml:space="preserve"> </w:t>
      </w:r>
      <w:r>
        <w:t xml:space="preserve">This Purchase Order shall become a binding contract upon written acceptance by the Carpenter. The Carpenter must sign and return a copy of this Purchase Order within five (5) business days of receipt. Failure to return the signed Purchase Order within this period shall constitute a declination of the offer.</w:t>
      </w:r>
    </w:p>
    <w:p>
      <w:pPr>
        <w:pStyle w:val="BodyText"/>
      </w:pPr>
      <w:r>
        <w:t xml:space="preserve">2.</w:t>
      </w:r>
      <w:r>
        <w:t xml:space="preserve"> </w:t>
      </w:r>
      <w:r>
        <w:rPr>
          <w:bCs/>
          <w:b/>
        </w:rPr>
        <w:t xml:space="preserve">Performance Schedule:</w:t>
      </w:r>
      <w:r>
        <w:t xml:space="preserve"> </w:t>
      </w:r>
      <w:r>
        <w:t xml:space="preserve">The Carpenter shall commence work on or before June 23, 2025, and shall complete all work no later than August 15, 2025. The Carpenter shall provide a detailed work schedule within three (3) business days of Purchase Order acceptance. Delays attributable to the Carpenter shall result in a liquidated damages charge of $500 per calendar day beyond the completion date.</w:t>
      </w:r>
    </w:p>
    <w:p>
      <w:pPr>
        <w:pStyle w:val="BodyText"/>
      </w:pPr>
      <w:r>
        <w:t xml:space="preserve">3.</w:t>
      </w:r>
      <w:r>
        <w:t xml:space="preserve"> </w:t>
      </w:r>
      <w:r>
        <w:rPr>
          <w:bCs/>
          <w:b/>
        </w:rPr>
        <w:t xml:space="preserve">Payment Schedule:</w:t>
      </w:r>
      <w:r>
        <w:t xml:space="preserve"> </w:t>
      </w:r>
      <w:r>
        <w:t xml:space="preserve">Payment shall be made in accordance with the following milestones: 25% upon Purchase Order acceptance and mobilization; 40% upon completion of structural carpentry and millwork fabrication; 25% upon installation of flooring and cabinetry; 10% upon final inspection and punch-list completion. All invoices shall reference this Purchase Order number (BCG-2025-04782).</w:t>
      </w:r>
    </w:p>
    <w:p>
      <w:pPr>
        <w:pStyle w:val="BodyText"/>
      </w:pPr>
      <w:r>
        <w:t xml:space="preserve">4.</w:t>
      </w:r>
      <w:r>
        <w:t xml:space="preserve"> </w:t>
      </w:r>
      <w:r>
        <w:rPr>
          <w:bCs/>
          <w:b/>
        </w:rPr>
        <w:t xml:space="preserve">Quality Standards:</w:t>
      </w:r>
      <w:r>
        <w:t xml:space="preserve"> </w:t>
      </w:r>
      <w:r>
        <w:t xml:space="preserve">All carpentry work shall be performed to the standard of a skilled Master Carpenter in the United States Houston trade community. All woodwork shall be free of defects, properly aligned, and finished to a commercial-grade standard. The Carpenter shall conduct a self-inspection prior to requesting the general contractor's inspection.</w:t>
      </w:r>
    </w:p>
    <w:p>
      <w:pPr>
        <w:pStyle w:val="BodyText"/>
      </w:pPr>
      <w:r>
        <w:t xml:space="preserve">5.</w:t>
      </w:r>
      <w:r>
        <w:t xml:space="preserve"> </w:t>
      </w:r>
      <w:r>
        <w:rPr>
          <w:bCs/>
          <w:b/>
        </w:rPr>
        <w:t xml:space="preserve">Insurance and Indemnification:</w:t>
      </w:r>
      <w:r>
        <w:t xml:space="preserve"> </w:t>
      </w:r>
      <w:r>
        <w:t xml:space="preserve">The Carpenter shall maintain, at his own expense, general liability insurance of not less than $2,000,000 per occurrence, workers' compensation insurance as required by Texas law, and a surety bond of $500,000. The Carpenter shall indemnify and hold harmless Bayou City Construction Group, LLC, its officers, agents, and employees from any claims, damages, or liabilities arising from the Carpenter's performance under this Purchase Order.</w:t>
      </w:r>
    </w:p>
    <w:p>
      <w:pPr>
        <w:pStyle w:val="BodyText"/>
      </w:pPr>
      <w:r>
        <w:t xml:space="preserve">6.</w:t>
      </w:r>
      <w:r>
        <w:t xml:space="preserve"> </w:t>
      </w:r>
      <w:r>
        <w:rPr>
          <w:bCs/>
          <w:b/>
        </w:rPr>
        <w:t xml:space="preserve">Compliance with Local Regulations:</w:t>
      </w:r>
      <w:r>
        <w:t xml:space="preserve"> </w:t>
      </w:r>
      <w:r>
        <w:t xml:space="preserve">The Carpenter shall comply with all building codes, zoning ordinances, and permit requirements of the City of Houston, Harris County, and the State of Texas. The Carpenter shall schedule and pass all required inspections with the Houston Building Code Administration. The Carpenter shall bear the cost of any re-inspections necessitated by work deficiencies.</w:t>
      </w:r>
    </w:p>
    <w:p>
      <w:pPr>
        <w:pStyle w:val="BodyText"/>
      </w:pPr>
      <w:r>
        <w:t xml:space="preserve">7.</w:t>
      </w:r>
      <w:r>
        <w:t xml:space="preserve"> </w:t>
      </w:r>
      <w:r>
        <w:rPr>
          <w:bCs/>
          <w:b/>
        </w:rPr>
        <w:t xml:space="preserve">Termination:</w:t>
      </w:r>
      <w:r>
        <w:t xml:space="preserve"> </w:t>
      </w:r>
      <w:r>
        <w:t xml:space="preserve">Either party may terminate this Purchase Order with fourteen (14) days' written notice. In the event of termination for convenience, the Carpenter shall be compensated for all work satisfactorily completed and materials procured up to the date of termination. In the event of termination for cause, the Carpenter shall be compensated only for work completed and accepted prior to the notice of termination.</w:t>
      </w:r>
    </w:p>
    <w:p>
      <w:pPr>
        <w:pStyle w:val="BodyText"/>
      </w:pPr>
      <w:r>
        <w:t xml:space="preserve">8.</w:t>
      </w:r>
      <w:r>
        <w:t xml:space="preserve"> </w:t>
      </w:r>
      <w:r>
        <w:rPr>
          <w:bCs/>
          <w:b/>
        </w:rPr>
        <w:t xml:space="preserve">Governing Law:</w:t>
      </w:r>
      <w:r>
        <w:t xml:space="preserve"> </w:t>
      </w:r>
      <w:r>
        <w:t xml:space="preserve">This Purchase Order shall be governed by and construed in accordance with the laws of the State of Texas, United States. Any disputes arising under this Purchase Order shall be resolved through binding arbitration in Houston, Texas, in accordance with the rules of the American Arbitration Association.</w:t>
      </w:r>
    </w:p>
    <w:p>
      <w:pPr>
        <w:pStyle w:val="BodyText"/>
      </w:pPr>
      <w:r>
        <w:t xml:space="preserve">9.</w:t>
      </w:r>
      <w:r>
        <w:t xml:space="preserve"> </w:t>
      </w:r>
      <w:r>
        <w:rPr>
          <w:bCs/>
          <w:b/>
        </w:rPr>
        <w:t xml:space="preserve">Subcontracting:</w:t>
      </w:r>
      <w:r>
        <w:t xml:space="preserve"> </w:t>
      </w:r>
      <w:r>
        <w:t xml:space="preserve">The Carpenter shall not subcontract any portion of the work described in this Purchase Order without the prior written consent of Bayou City Construction Group, LLC. Any approved subcontractor shall be bound by the same terms and conditions as the Carpenter.</w:t>
      </w:r>
    </w:p>
    <w:p>
      <w:pPr>
        <w:pStyle w:val="BodyText"/>
      </w:pPr>
      <w:r>
        <w:t xml:space="preserve">10.</w:t>
      </w:r>
      <w:r>
        <w:t xml:space="preserve"> </w:t>
      </w:r>
      <w:r>
        <w:rPr>
          <w:bCs/>
          <w:b/>
        </w:rPr>
        <w:t xml:space="preserve">Warranty:</w:t>
      </w:r>
      <w:r>
        <w:t xml:space="preserve"> </w:t>
      </w:r>
      <w:r>
        <w:t xml:space="preserve">The Carpenter warrants all workmanship for a period of two (2) years from the date of final acceptance. During this warranty period, the Carpenter shall repair or replace any defective work at no additional cost to the purchasing party.</w:t>
      </w:r>
    </w:p>
    <w:bookmarkEnd w:id="26"/>
    <w:bookmarkStart w:id="27" w:name="signatures"/>
    <w:p>
      <w:pPr>
        <w:pStyle w:val="Heading2"/>
      </w:pPr>
      <w:r>
        <w:t xml:space="preserve">Signatures</w:t>
      </w:r>
    </w:p>
    <w:p>
      <w:pPr>
        <w:pStyle w:val="FirstParagraph"/>
      </w:pPr>
      <w:r>
        <w:t xml:space="preserve">Margaret T. Ellison</w:t>
      </w:r>
      <w:r>
        <w:br/>
      </w:r>
      <w:r>
        <w:t xml:space="preserve">Procurement Director</w:t>
      </w:r>
      <w:r>
        <w:br/>
      </w:r>
      <w:r>
        <w:t xml:space="preserve">Bayou City Construction Group, LLC</w:t>
      </w:r>
      <w:r>
        <w:br/>
      </w:r>
      <w:r>
        <w:t xml:space="preserve">Date: _______________</w:t>
      </w:r>
    </w:p>
    <w:p>
      <w:pPr>
        <w:pStyle w:val="BodyText"/>
      </w:pPr>
      <w:r>
        <w:t xml:space="preserve">James R. Calloway</w:t>
      </w:r>
      <w:r>
        <w:br/>
      </w:r>
      <w:r>
        <w:t xml:space="preserve">Master Carpenter / Owner</w:t>
      </w:r>
      <w:r>
        <w:br/>
      </w:r>
      <w:r>
        <w:t xml:space="preserve">Calloway Custom Carpentry &amp; Millwork, Inc.</w:t>
      </w:r>
      <w:r>
        <w:br/>
      </w:r>
      <w:r>
        <w:t xml:space="preserve">Date: _______________</w:t>
      </w:r>
    </w:p>
    <w:p>
      <w:pPr>
        <w:pStyle w:val="BodyText"/>
      </w:pPr>
      <w:r>
        <w:t xml:space="preserve">This Purchase Order is valid for 30 days from the date of issue. All references to "United States Houston" in this document denote the city of Houston, Harris County, Texas, United States of America. This document constitutes a complete and binding Purchase Order for the Carpenter services described herein. No modifications to this Purchase Order shall be valid unless made in writing and signed by both parties.</w:t>
      </w:r>
    </w:p>
    <w:p>
      <w:pPr>
        <w:pStyle w:val="BodyText"/>
      </w:pPr>
      <w:r>
        <w:t xml:space="preserve">— End of Purchase Order BCG-2025-04782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United States Houston</dc:title>
  <dc:creator/>
  <dc:language>en</dc:language>
  <cp:keywords/>
  <dcterms:created xsi:type="dcterms:W3CDTF">2026-10-10T04:11:46Z</dcterms:created>
  <dcterms:modified xsi:type="dcterms:W3CDTF">2026-10-10T04:11:46Z</dcterms:modified>
</cp:coreProperties>
</file>

<file path=docProps/custom.xml><?xml version="1.0" encoding="utf-8"?>
<Properties xmlns="http://schemas.openxmlformats.org/officeDocument/2006/custom-properties" xmlns:vt="http://schemas.openxmlformats.org/officeDocument/2006/docPropsVTypes"/>
</file>