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Carpenter Services &amp; Materials Procurement Document</w:t>
      </w:r>
    </w:p>
    <w:p>
      <w:pPr>
        <w:pStyle w:val="BodyText"/>
      </w:pPr>
      <w:r>
        <w:t xml:space="preserve">United States Los Angeles, California</w:t>
      </w:r>
    </w:p>
    <w:bookmarkEnd w:id="20"/>
    <w:p>
      <w:pPr>
        <w:pStyle w:val="BodyText"/>
      </w:pPr>
      <w:r>
        <w:rPr>
          <w:bCs/>
          <w:b/>
        </w:rPr>
        <w:t xml:space="preserve">Purchase Order Number:</w:t>
      </w:r>
      <w:r>
        <w:t xml:space="preserve"> </w:t>
      </w:r>
      <w:r>
        <w:t xml:space="preserve">PO-LA-2025-04872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Westside Residential Construction Group, LLC</w:t>
            </w:r>
          </w:p>
        </w:tc>
      </w:tr>
      <w:tr>
        <w:tc>
          <w:tcPr/>
          <w:p>
            <w:pPr>
              <w:pStyle w:val="Compact"/>
              <w:jc w:val="left"/>
            </w:pPr>
            <w:r>
              <w:rPr>
                <w:bCs/>
                <w:b/>
              </w:rPr>
              <w:t xml:space="preserve">Address:</w:t>
            </w:r>
          </w:p>
        </w:tc>
        <w:tc>
          <w:tcPr/>
          <w:p>
            <w:pPr>
              <w:pStyle w:val="Compact"/>
              <w:jc w:val="left"/>
            </w:pPr>
            <w:r>
              <w:t xml:space="preserve">4820 Wilshire Boulevard, Suite 310, United States Los Angeles, CA 90036</w:t>
            </w:r>
          </w:p>
        </w:tc>
      </w:tr>
      <w:tr>
        <w:tc>
          <w:tcPr/>
          <w:p>
            <w:pPr>
              <w:pStyle w:val="Compact"/>
              <w:jc w:val="left"/>
            </w:pPr>
            <w:r>
              <w:rPr>
                <w:bCs/>
                <w:b/>
              </w:rPr>
              <w:t xml:space="preserve">Contact Person:</w:t>
            </w:r>
          </w:p>
        </w:tc>
        <w:tc>
          <w:tcPr/>
          <w:p>
            <w:pPr>
              <w:pStyle w:val="Compact"/>
              <w:jc w:val="left"/>
            </w:pPr>
            <w:r>
              <w:t xml:space="preserve">Mr. Daniel R. Whitfield, Project Director</w:t>
            </w:r>
          </w:p>
        </w:tc>
      </w:tr>
      <w:tr>
        <w:tc>
          <w:tcPr/>
          <w:p>
            <w:pPr>
              <w:pStyle w:val="Compact"/>
              <w:jc w:val="left"/>
            </w:pPr>
            <w:r>
              <w:rPr>
                <w:bCs/>
                <w:b/>
              </w:rPr>
              <w:t xml:space="preserve">Phone:</w:t>
            </w:r>
          </w:p>
        </w:tc>
        <w:tc>
          <w:tcPr/>
          <w:p>
            <w:pPr>
              <w:pStyle w:val="Compact"/>
              <w:jc w:val="left"/>
            </w:pPr>
            <w:r>
              <w:t xml:space="preserve">(213) 555-0147</w:t>
            </w:r>
          </w:p>
        </w:tc>
      </w:tr>
      <w:tr>
        <w:tc>
          <w:tcPr/>
          <w:p>
            <w:pPr>
              <w:pStyle w:val="Compact"/>
              <w:jc w:val="left"/>
            </w:pPr>
            <w:r>
              <w:rPr>
                <w:bCs/>
                <w:b/>
              </w:rPr>
              <w:t xml:space="preserve">Email:</w:t>
            </w:r>
          </w:p>
        </w:tc>
        <w:tc>
          <w:tcPr/>
          <w:p>
            <w:pPr>
              <w:pStyle w:val="Compact"/>
              <w:jc w:val="left"/>
            </w:pPr>
            <w:r>
              <w:t xml:space="preserve">d.whitfield@westsideconstruction.com</w:t>
            </w:r>
          </w:p>
        </w:tc>
      </w:tr>
      <w:tr>
        <w:tc>
          <w:tcPr/>
          <w:p>
            <w:pPr>
              <w:pStyle w:val="Compact"/>
              <w:jc w:val="left"/>
            </w:pPr>
            <w:r>
              <w:rPr>
                <w:bCs/>
                <w:b/>
              </w:rPr>
              <w:t xml:space="preserve">Federal Tax ID (EIN):</w:t>
            </w:r>
          </w:p>
        </w:tc>
        <w:tc>
          <w:tcPr/>
          <w:p>
            <w:pPr>
              <w:pStyle w:val="Compact"/>
              <w:jc w:val="left"/>
            </w:pPr>
            <w:r>
              <w:t xml:space="preserve">82-4471903</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Golden State Carpenter &amp; Woodworks, Inc.</w:t>
            </w:r>
          </w:p>
        </w:tc>
      </w:tr>
      <w:tr>
        <w:tc>
          <w:tcPr/>
          <w:p>
            <w:pPr>
              <w:pStyle w:val="Compact"/>
              <w:jc w:val="left"/>
            </w:pPr>
            <w:r>
              <w:rPr>
                <w:bCs/>
                <w:b/>
              </w:rPr>
              <w:t xml:space="preserve">Address:</w:t>
            </w:r>
          </w:p>
        </w:tc>
        <w:tc>
          <w:tcPr/>
          <w:p>
            <w:pPr>
              <w:pStyle w:val="Compact"/>
              <w:jc w:val="left"/>
            </w:pPr>
            <w:r>
              <w:t xml:space="preserve">1207 S. Grand Avenue, Unit B, United States Los Angeles, CA 90015</w:t>
            </w:r>
          </w:p>
        </w:tc>
      </w:tr>
      <w:tr>
        <w:tc>
          <w:tcPr/>
          <w:p>
            <w:pPr>
              <w:pStyle w:val="Compact"/>
              <w:jc w:val="left"/>
            </w:pPr>
            <w:r>
              <w:rPr>
                <w:bCs/>
                <w:b/>
              </w:rPr>
              <w:t xml:space="preserve">Contact Person:</w:t>
            </w:r>
          </w:p>
        </w:tc>
        <w:tc>
          <w:tcPr/>
          <w:p>
            <w:pPr>
              <w:pStyle w:val="Compact"/>
              <w:jc w:val="left"/>
            </w:pPr>
            <w:r>
              <w:t xml:space="preserve">Ms. Angela M. Torres, Master Carpenter &amp; Owner</w:t>
            </w:r>
          </w:p>
        </w:tc>
      </w:tr>
      <w:tr>
        <w:tc>
          <w:tcPr/>
          <w:p>
            <w:pPr>
              <w:pStyle w:val="Compact"/>
              <w:jc w:val="left"/>
            </w:pPr>
            <w:r>
              <w:rPr>
                <w:bCs/>
                <w:b/>
              </w:rPr>
              <w:t xml:space="preserve">Phone:</w:t>
            </w:r>
          </w:p>
        </w:tc>
        <w:tc>
          <w:tcPr/>
          <w:p>
            <w:pPr>
              <w:pStyle w:val="Compact"/>
              <w:jc w:val="left"/>
            </w:pPr>
            <w:r>
              <w:t xml:space="preserve">(323) 555-0892</w:t>
            </w:r>
          </w:p>
        </w:tc>
      </w:tr>
      <w:tr>
        <w:tc>
          <w:tcPr/>
          <w:p>
            <w:pPr>
              <w:pStyle w:val="Compact"/>
              <w:jc w:val="left"/>
            </w:pPr>
            <w:r>
              <w:rPr>
                <w:bCs/>
                <w:b/>
              </w:rPr>
              <w:t xml:space="preserve">Email:</w:t>
            </w:r>
          </w:p>
        </w:tc>
        <w:tc>
          <w:tcPr/>
          <w:p>
            <w:pPr>
              <w:pStyle w:val="Compact"/>
              <w:jc w:val="left"/>
            </w:pPr>
            <w:r>
              <w:t xml:space="preserve">a.torres@goldenstatecarpenter.com</w:t>
            </w:r>
          </w:p>
        </w:tc>
      </w:tr>
      <w:tr>
        <w:tc>
          <w:tcPr/>
          <w:p>
            <w:pPr>
              <w:pStyle w:val="Compact"/>
              <w:jc w:val="left"/>
            </w:pPr>
            <w:r>
              <w:rPr>
                <w:bCs/>
                <w:b/>
              </w:rPr>
              <w:t xml:space="preserve">Federal Tax ID (EIN):</w:t>
            </w:r>
          </w:p>
        </w:tc>
        <w:tc>
          <w:tcPr/>
          <w:p>
            <w:pPr>
              <w:pStyle w:val="Compact"/>
              <w:jc w:val="left"/>
            </w:pPr>
            <w:r>
              <w:t xml:space="preserve">74-9928316</w:t>
            </w:r>
          </w:p>
        </w:tc>
      </w:tr>
      <w:tr>
        <w:tc>
          <w:tcPr/>
          <w:p>
            <w:pPr>
              <w:pStyle w:val="Compact"/>
              <w:jc w:val="left"/>
            </w:pPr>
            <w:r>
              <w:rPr>
                <w:bCs/>
                <w:b/>
              </w:rPr>
              <w:t xml:space="preserve">CA Contractor License:</w:t>
            </w:r>
          </w:p>
        </w:tc>
        <w:tc>
          <w:tcPr/>
          <w:p>
            <w:pPr>
              <w:pStyle w:val="Compact"/>
              <w:jc w:val="left"/>
            </w:pPr>
            <w:r>
              <w:t xml:space="preserve">CA-10847293 (C-6 Carpentry &amp; Millwork)</w:t>
            </w:r>
          </w:p>
        </w:tc>
      </w:tr>
    </w:tbl>
    <w:p>
      <w:pPr>
        <w:pStyle w:val="BodyText"/>
      </w:pPr>
      <w:r>
        <w:t xml:space="preserve">3. Scope of Work &amp; Line Items</w:t>
      </w:r>
    </w:p>
    <w:p>
      <w:pPr>
        <w:pStyle w:val="BodyText"/>
      </w:pPr>
      <w:r>
        <w:t xml:space="preserve">This Purchase Order is issued by Westside Residential Construction Group, LLC to Golden State Carpenter &amp; Woodworks, Inc. for the procurement of professional Carpenter services and associated materials for the construction of a custom residential property located at 2847 Sunset Boulevard, United States Los Angeles, CA 90026. The Carpenter services encompass all structural wood framing, interior millwork, custom cabinetry, hardwood flooring installation, and exterior trim work as specified in the attached architectural plans (Reference: LA-ARCH-2025-114).</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Carpenter Service / Material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Structural wood framing – load-bearing walls, floor joists, and roof trusses (2x6 and 2x8 dimensional lumber, SPF #2 grade)</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002</w:t>
            </w:r>
          </w:p>
        </w:tc>
        <w:tc>
          <w:tcPr/>
          <w:p>
            <w:pPr>
              <w:pStyle w:val="Compact"/>
              <w:jc w:val="left"/>
            </w:pPr>
            <w:r>
              <w:t xml:space="preserve">Custom kitchen cabinetry – 42 linear feet of maple hardwood, hand-finished, including soft-close hardware and granite countertop integration</w:t>
            </w:r>
          </w:p>
        </w:tc>
        <w:tc>
          <w:tcPr/>
          <w:p>
            <w:pPr>
              <w:pStyle w:val="Compact"/>
              <w:jc w:val="left"/>
            </w:pPr>
            <w:r>
              <w:t xml:space="preserve">42</w:t>
            </w:r>
          </w:p>
        </w:tc>
        <w:tc>
          <w:tcPr/>
          <w:p>
            <w:pPr>
              <w:pStyle w:val="Compact"/>
              <w:jc w:val="left"/>
            </w:pPr>
            <w:r>
              <w:t xml:space="preserve">LF</w:t>
            </w:r>
          </w:p>
        </w:tc>
        <w:tc>
          <w:tcPr/>
          <w:p>
            <w:pPr>
              <w:pStyle w:val="Compact"/>
              <w:jc w:val="left"/>
            </w:pPr>
            <w:r>
              <w:t xml:space="preserve">685.00</w:t>
            </w:r>
          </w:p>
        </w:tc>
        <w:tc>
          <w:tcPr/>
          <w:p>
            <w:pPr>
              <w:pStyle w:val="Compact"/>
              <w:jc w:val="left"/>
            </w:pPr>
            <w:r>
              <w:t xml:space="preserve">28,770.00</w:t>
            </w:r>
          </w:p>
        </w:tc>
      </w:tr>
      <w:tr>
        <w:tc>
          <w:tcPr/>
          <w:p>
            <w:pPr>
              <w:pStyle w:val="Compact"/>
              <w:jc w:val="left"/>
            </w:pPr>
            <w:r>
              <w:t xml:space="preserve">003</w:t>
            </w:r>
          </w:p>
        </w:tc>
        <w:tc>
          <w:tcPr/>
          <w:p>
            <w:pPr>
              <w:pStyle w:val="Compact"/>
              <w:jc w:val="left"/>
            </w:pPr>
            <w:r>
              <w:t xml:space="preserve">Interior hardwood flooring installation – 3,200 sq ft of white oak, 3/4" solid, wire-brushed finish, including underlayment and base trim</w:t>
            </w:r>
          </w:p>
        </w:tc>
        <w:tc>
          <w:tcPr/>
          <w:p>
            <w:pPr>
              <w:pStyle w:val="Compact"/>
              <w:jc w:val="left"/>
            </w:pPr>
            <w:r>
              <w:t xml:space="preserve">3,200</w:t>
            </w:r>
          </w:p>
        </w:tc>
        <w:tc>
          <w:tcPr/>
          <w:p>
            <w:pPr>
              <w:pStyle w:val="Compact"/>
              <w:jc w:val="left"/>
            </w:pPr>
            <w:r>
              <w:t xml:space="preserve">SF</w:t>
            </w:r>
          </w:p>
        </w:tc>
        <w:tc>
          <w:tcPr/>
          <w:p>
            <w:pPr>
              <w:pStyle w:val="Compact"/>
              <w:jc w:val="left"/>
            </w:pPr>
            <w:r>
              <w:t xml:space="preserve">14.75</w:t>
            </w:r>
          </w:p>
        </w:tc>
        <w:tc>
          <w:tcPr/>
          <w:p>
            <w:pPr>
              <w:pStyle w:val="Compact"/>
              <w:jc w:val="left"/>
            </w:pPr>
            <w:r>
              <w:t xml:space="preserve">47,200.00</w:t>
            </w:r>
          </w:p>
        </w:tc>
      </w:tr>
      <w:tr>
        <w:tc>
          <w:tcPr/>
          <w:p>
            <w:pPr>
              <w:pStyle w:val="Compact"/>
              <w:jc w:val="left"/>
            </w:pPr>
            <w:r>
              <w:t xml:space="preserve">004</w:t>
            </w:r>
          </w:p>
        </w:tc>
        <w:tc>
          <w:tcPr/>
          <w:p>
            <w:pPr>
              <w:pStyle w:val="Compact"/>
              <w:jc w:val="left"/>
            </w:pPr>
            <w:r>
              <w:t xml:space="preserve">Exterior trim, fascia, and soffit work – Western Red Cedar, 1,850 linear feet, including painting and weatherproofing</w:t>
            </w:r>
          </w:p>
        </w:tc>
        <w:tc>
          <w:tcPr/>
          <w:p>
            <w:pPr>
              <w:pStyle w:val="Compact"/>
              <w:jc w:val="left"/>
            </w:pPr>
            <w:r>
              <w:t xml:space="preserve">1,850</w:t>
            </w:r>
          </w:p>
        </w:tc>
        <w:tc>
          <w:tcPr/>
          <w:p>
            <w:pPr>
              <w:pStyle w:val="Compact"/>
              <w:jc w:val="left"/>
            </w:pPr>
            <w:r>
              <w:t xml:space="preserve">LF</w:t>
            </w:r>
          </w:p>
        </w:tc>
        <w:tc>
          <w:tcPr/>
          <w:p>
            <w:pPr>
              <w:pStyle w:val="Compact"/>
              <w:jc w:val="left"/>
            </w:pPr>
            <w:r>
              <w:t xml:space="preserve">12.40</w:t>
            </w:r>
          </w:p>
        </w:tc>
        <w:tc>
          <w:tcPr/>
          <w:p>
            <w:pPr>
              <w:pStyle w:val="Compact"/>
              <w:jc w:val="left"/>
            </w:pPr>
            <w:r>
              <w:t xml:space="preserve">22,940.00</w:t>
            </w:r>
          </w:p>
        </w:tc>
      </w:tr>
      <w:tr>
        <w:tc>
          <w:tcPr/>
          <w:p>
            <w:pPr>
              <w:pStyle w:val="Compact"/>
              <w:jc w:val="left"/>
            </w:pPr>
            <w:r>
              <w:t xml:space="preserve">005</w:t>
            </w:r>
          </w:p>
        </w:tc>
        <w:tc>
          <w:tcPr/>
          <w:p>
            <w:pPr>
              <w:pStyle w:val="Compact"/>
              <w:jc w:val="left"/>
            </w:pPr>
            <w:r>
              <w:t xml:space="preserve">Custom built-in bookshelves and media wall – 28 linear feet, cherry hardwood, French door panels, LED underlighting integration</w:t>
            </w:r>
          </w:p>
        </w:tc>
        <w:tc>
          <w:tcPr/>
          <w:p>
            <w:pPr>
              <w:pStyle w:val="Compact"/>
              <w:jc w:val="left"/>
            </w:pPr>
            <w:r>
              <w:t xml:space="preserve">28</w:t>
            </w:r>
          </w:p>
        </w:tc>
        <w:tc>
          <w:tcPr/>
          <w:p>
            <w:pPr>
              <w:pStyle w:val="Compact"/>
              <w:jc w:val="left"/>
            </w:pPr>
            <w:r>
              <w:t xml:space="preserve">LF</w:t>
            </w:r>
          </w:p>
        </w:tc>
        <w:tc>
          <w:tcPr/>
          <w:p>
            <w:pPr>
              <w:pStyle w:val="Compact"/>
              <w:jc w:val="left"/>
            </w:pPr>
            <w:r>
              <w:t xml:space="preserve">520.00</w:t>
            </w:r>
          </w:p>
        </w:tc>
        <w:tc>
          <w:tcPr/>
          <w:p>
            <w:pPr>
              <w:pStyle w:val="Compact"/>
              <w:jc w:val="left"/>
            </w:pPr>
            <w:r>
              <w:t xml:space="preserve">14,560.00</w:t>
            </w:r>
          </w:p>
        </w:tc>
      </w:tr>
      <w:tr>
        <w:tc>
          <w:tcPr/>
          <w:p>
            <w:pPr>
              <w:pStyle w:val="Compact"/>
              <w:jc w:val="left"/>
            </w:pPr>
            <w:r>
              <w:t xml:space="preserve">006</w:t>
            </w:r>
          </w:p>
        </w:tc>
        <w:tc>
          <w:tcPr/>
          <w:p>
            <w:pPr>
              <w:pStyle w:val="Compact"/>
              <w:jc w:val="left"/>
            </w:pPr>
            <w:r>
              <w:t xml:space="preserve">Staircase construction – 14-step open-riser staircase, white oak treads, wrought iron balusters, custom newel posts</w:t>
            </w:r>
          </w:p>
        </w:tc>
        <w:tc>
          <w:tcPr/>
          <w:p>
            <w:pPr>
              <w:pStyle w:val="Compact"/>
              <w:jc w:val="left"/>
            </w:pPr>
            <w:r>
              <w:t xml:space="preserve">1</w:t>
            </w:r>
          </w:p>
        </w:tc>
        <w:tc>
          <w:tcPr/>
          <w:p>
            <w:pPr>
              <w:pStyle w:val="Compact"/>
              <w:jc w:val="left"/>
            </w:pPr>
            <w:r>
              <w:t xml:space="preserve">Lot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007</w:t>
            </w:r>
          </w:p>
        </w:tc>
        <w:tc>
          <w:tcPr/>
          <w:p>
            <w:pPr>
              <w:pStyle w:val="Compact"/>
              <w:jc w:val="left"/>
            </w:pPr>
            <w:r>
              <w:t xml:space="preserve">Interior door installation – 12 solid-core doors, 3/4" white oak veneer, including frames, hardware, and finishing</w:t>
            </w:r>
          </w:p>
        </w:tc>
        <w:tc>
          <w:tcPr/>
          <w:p>
            <w:pPr>
              <w:pStyle w:val="Compact"/>
              <w:jc w:val="left"/>
            </w:pPr>
            <w:r>
              <w:t xml:space="preserve">12</w:t>
            </w:r>
          </w:p>
        </w:tc>
        <w:tc>
          <w:tcPr/>
          <w:p>
            <w:pPr>
              <w:pStyle w:val="Compact"/>
              <w:jc w:val="left"/>
            </w:pPr>
            <w:r>
              <w:t xml:space="preserve">EA</w:t>
            </w:r>
          </w:p>
        </w:tc>
        <w:tc>
          <w:tcPr/>
          <w:p>
            <w:pPr>
              <w:pStyle w:val="Compact"/>
              <w:jc w:val="left"/>
            </w:pPr>
            <w:r>
              <w:t xml:space="preserve">1,150.00</w:t>
            </w:r>
          </w:p>
        </w:tc>
        <w:tc>
          <w:tcPr/>
          <w:p>
            <w:pPr>
              <w:pStyle w:val="Compact"/>
              <w:jc w:val="left"/>
            </w:pPr>
            <w:r>
              <w:t xml:space="preserve">13,800.00</w:t>
            </w:r>
          </w:p>
        </w:tc>
      </w:tr>
      <w:tr>
        <w:tc>
          <w:tcPr/>
          <w:p>
            <w:pPr>
              <w:pStyle w:val="Compact"/>
              <w:jc w:val="left"/>
            </w:pPr>
            <w:r>
              <w:t xml:space="preserve">008</w:t>
            </w:r>
          </w:p>
        </w:tc>
        <w:tc>
          <w:tcPr/>
          <w:p>
            <w:pPr>
              <w:pStyle w:val="Compact"/>
              <w:jc w:val="left"/>
            </w:pPr>
            <w:r>
              <w:t xml:space="preserve">General Carpenter labor supervision, site management, and daily progress reporting (estimated 45 working days)</w:t>
            </w:r>
          </w:p>
        </w:tc>
        <w:tc>
          <w:tcPr/>
          <w:p>
            <w:pPr>
              <w:pStyle w:val="Compact"/>
              <w:jc w:val="left"/>
            </w:pPr>
            <w:r>
              <w:t xml:space="preserve">45</w:t>
            </w:r>
          </w:p>
        </w:tc>
        <w:tc>
          <w:tcPr/>
          <w:p>
            <w:pPr>
              <w:pStyle w:val="Compact"/>
              <w:jc w:val="left"/>
            </w:pPr>
            <w:r>
              <w:t xml:space="preserve">Days</w:t>
            </w:r>
          </w:p>
        </w:tc>
        <w:tc>
          <w:tcPr/>
          <w:p>
            <w:pPr>
              <w:pStyle w:val="Compact"/>
              <w:jc w:val="left"/>
            </w:pPr>
            <w:r>
              <w:t xml:space="preserve">425.00</w:t>
            </w:r>
          </w:p>
        </w:tc>
        <w:tc>
          <w:tcPr/>
          <w:p>
            <w:pPr>
              <w:pStyle w:val="Compact"/>
              <w:jc w:val="left"/>
            </w:pPr>
            <w:r>
              <w:t xml:space="preserve">19,125.00</w:t>
            </w:r>
          </w:p>
        </w:tc>
      </w:tr>
    </w:tbl>
    <w:p>
      <w:pPr>
        <w:pStyle w:val="BodyText"/>
      </w:pPr>
      <w:r>
        <w:t xml:space="preserve">4.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$177,695.00</w:t>
            </w:r>
          </w:p>
        </w:tc>
      </w:tr>
      <w:tr>
        <w:tc>
          <w:tcPr/>
          <w:p>
            <w:pPr>
              <w:pStyle w:val="Compact"/>
              <w:jc w:val="left"/>
            </w:pPr>
            <w:r>
              <w:rPr>
                <w:bCs/>
                <w:b/>
              </w:rPr>
              <w:t xml:space="preserve">Applicable Sales Tax (9.5% – City of Los Angeles, CA):</w:t>
            </w:r>
          </w:p>
        </w:tc>
        <w:tc>
          <w:tcPr/>
          <w:p>
            <w:pPr>
              <w:pStyle w:val="Compact"/>
              <w:jc w:val="right"/>
            </w:pPr>
            <w:r>
              <w:t xml:space="preserve">$16,881.03</w:t>
            </w:r>
          </w:p>
        </w:tc>
      </w:tr>
      <w:tr>
        <w:tc>
          <w:tcPr/>
          <w:p>
            <w:pPr>
              <w:pStyle w:val="Compact"/>
              <w:jc w:val="left"/>
            </w:pPr>
            <w:r>
              <w:rPr>
                <w:bCs/>
                <w:b/>
              </w:rPr>
              <w:t xml:space="preserve">Permit &amp; Inspection Fees (Los Angeles County):</w:t>
            </w:r>
          </w:p>
        </w:tc>
        <w:tc>
          <w:tcPr/>
          <w:p>
            <w:pPr>
              <w:pStyle w:val="Compact"/>
              <w:jc w:val="right"/>
            </w:pPr>
            <w:r>
              <w:t xml:space="preserve">$3,250.00</w:t>
            </w:r>
          </w:p>
        </w:tc>
      </w:tr>
      <w:tr>
        <w:tc>
          <w:tcPr/>
          <w:p>
            <w:pPr>
              <w:pStyle w:val="Compact"/>
              <w:jc w:val="left"/>
            </w:pPr>
            <w:r>
              <w:rPr>
                <w:bCs/>
                <w:b/>
              </w:rPr>
              <w:t xml:space="preserve">Delivery &amp; Material Handling (within United States Los Angeles city limits):</w:t>
            </w:r>
          </w:p>
        </w:tc>
        <w:tc>
          <w:tcPr/>
          <w:p>
            <w:pPr>
              <w:pStyle w:val="Compact"/>
              <w:jc w:val="right"/>
            </w:pPr>
            <w:r>
              <w:t xml:space="preserve">$1,470.00</w:t>
            </w:r>
          </w:p>
        </w:tc>
      </w:tr>
      <w:tr>
        <w:tc>
          <w:tcPr/>
          <w:p>
            <w:pPr>
              <w:pStyle w:val="Compact"/>
              <w:jc w:val="left"/>
            </w:pPr>
            <w:r>
              <w:rPr>
                <w:bCs/>
                <w:b/>
              </w:rPr>
              <w:t xml:space="preserve">TOTAL PURCHASE ORDER AMOUNT:</w:t>
            </w:r>
          </w:p>
        </w:tc>
        <w:tc>
          <w:tcPr/>
          <w:p>
            <w:pPr>
              <w:pStyle w:val="Compact"/>
              <w:jc w:val="right"/>
            </w:pPr>
            <w:r>
              <w:rPr>
                <w:bCs/>
                <w:b/>
              </w:rPr>
              <w:t xml:space="preserve">$199,296.03</w:t>
            </w:r>
          </w:p>
        </w:tc>
      </w:tr>
    </w:tbl>
    <w:p>
      <w:pPr>
        <w:pStyle w:val="BodyText"/>
      </w:pPr>
      <w:r>
        <w:t xml:space="preserve">5. Terms and Conditions</w:t>
      </w:r>
    </w:p>
    <w:p>
      <w:pPr>
        <w:numPr>
          <w:ilvl w:val="0"/>
          <w:numId w:val="1001"/>
        </w:numPr>
        <w:pStyle w:val="Compact"/>
      </w:pPr>
      <w:r>
        <w:t xml:space="preserve">This Purchase Order is governed by the laws of the State of California and the municipal regulations of the City of Los Angeles, United States. All Carpenter work must comply with the Los Angeles Building Code (LABC) and the International Residential Code (IRC) as adopted by the City of Los Angeles.</w:t>
      </w:r>
    </w:p>
    <w:p>
      <w:pPr>
        <w:numPr>
          <w:ilvl w:val="0"/>
          <w:numId w:val="1001"/>
        </w:numPr>
        <w:pStyle w:val="Compact"/>
      </w:pPr>
      <w:r>
        <w:t xml:space="preserve">The Carpenter service provider, Golden State Carpenter &amp; Woodworks, Inc., shall maintain a valid California Class C-6 Carpentry &amp; Millwork Contractor's License throughout the duration of this Purchase Order. Proof of licensure and general liability insurance (minimum $2,000,000) must be provided prior to commencement of work.</w:t>
      </w:r>
    </w:p>
    <w:p>
      <w:pPr>
        <w:numPr>
          <w:ilvl w:val="0"/>
          <w:numId w:val="1001"/>
        </w:numPr>
        <w:pStyle w:val="Compact"/>
      </w:pPr>
      <w:r>
        <w:t xml:space="preserve">Payment shall be made within thirty (30) calendar days of receipt of a valid invoice. Invoices must reference this Purchase Order number (PO-LA-2025-04872) and include a detailed breakdown of labor and materials.</w:t>
      </w:r>
    </w:p>
    <w:p>
      <w:pPr>
        <w:numPr>
          <w:ilvl w:val="0"/>
          <w:numId w:val="1001"/>
        </w:numPr>
        <w:pStyle w:val="Compact"/>
      </w:pPr>
      <w:r>
        <w:t xml:space="preserve">All materials specified in this Purchase Order must be sourced from approved suppliers within the United States. Substitutions require prior written approval from the Purchasing Party's Project Director.</w:t>
      </w:r>
    </w:p>
    <w:p>
      <w:pPr>
        <w:numPr>
          <w:ilvl w:val="0"/>
          <w:numId w:val="1001"/>
        </w:numPr>
        <w:pStyle w:val="Compact"/>
      </w:pPr>
      <w:r>
        <w:t xml:space="preserve">The Carpenter shall provide weekly progress reports every Friday by 5:00 PM Pacific Time. Failure to meet the Required Delivery Date of July 15, 2025, without documented cause, shall result in a liquidated damages charge of $500.00 per calendar day.</w:t>
      </w:r>
    </w:p>
    <w:p>
      <w:pPr>
        <w:numPr>
          <w:ilvl w:val="0"/>
          <w:numId w:val="1001"/>
        </w:numPr>
        <w:pStyle w:val="Compact"/>
      </w:pPr>
      <w:r>
        <w:t xml:space="preserve">All work performed under this Purchase Order in United States Los Angeles is subject to inspection by the Los Angeles Department of Building and Safety (LADBS). The Carpenter shall coordinate all required inspections and bear the cost of any rework necessitated by failed inspections.</w:t>
      </w:r>
    </w:p>
    <w:p>
      <w:pPr>
        <w:numPr>
          <w:ilvl w:val="0"/>
          <w:numId w:val="1001"/>
        </w:numPr>
        <w:pStyle w:val="Compact"/>
      </w:pPr>
      <w:r>
        <w:t xml:space="preserve">This Purchase Order does not constitute a guarantee of employment or a long-term contract. It is a single-transaction procurement document. Any additional work beyond the scope defined herein requires a written Change Order signed by both parties.</w:t>
      </w:r>
    </w:p>
    <w:p>
      <w:pPr>
        <w:numPr>
          <w:ilvl w:val="0"/>
          <w:numId w:val="1001"/>
        </w:numPr>
        <w:pStyle w:val="Compact"/>
      </w:pPr>
      <w:r>
        <w:t xml:space="preserve">Disputes arising from this Purchase Order shall be resolved through binding arbitration in Los Angeles County, California, in accordance with the rules of the American Arbitration Association.</w:t>
      </w:r>
    </w:p>
    <w:p>
      <w:pPr>
        <w:numPr>
          <w:ilvl w:val="0"/>
          <w:numId w:val="1001"/>
        </w:numPr>
        <w:pStyle w:val="Compact"/>
      </w:pPr>
      <w:r>
        <w:t xml:space="preserve">The Carpenter shall comply with all applicable federal, state, and local labor laws, including but not limited to California Labor Code provisions, OSHA safety standards, and Los Angeles municipal ordinances regarding construction site safety and noise regulations.</w:t>
      </w:r>
    </w:p>
    <w:p>
      <w:pPr>
        <w:numPr>
          <w:ilvl w:val="0"/>
          <w:numId w:val="1001"/>
        </w:numPr>
        <w:pStyle w:val="Compact"/>
      </w:pPr>
      <w:r>
        <w:t xml:space="preserve">This Purchase Order is valid for acceptance within ten (10) business days of the Date of Issue. After this period, the Purchasing Party reserves the right to revoke or modify this document without liability.</w:t>
      </w:r>
    </w:p>
    <w:p>
      <w:pPr>
        <w:pStyle w:val="FirstParagraph"/>
      </w:pPr>
      <w:r>
        <w:t xml:space="preserve">6. Authorization &amp; Acceptance</w:t>
      </w:r>
    </w:p>
    <w:p>
      <w:pPr>
        <w:pStyle w:val="BodyText"/>
      </w:pPr>
      <w:r>
        <w:t xml:space="preserve">By signing below, both parties acknowledge that this Purchase Order for Carpenter services in United States Los Angeles has been reviewed, understood, and agreed upon in its entirety. The terms set forth herein constitute the complete and exclusive agreement between the parties with respect to the subject matter of this document.</w:t>
      </w:r>
    </w:p>
    <w:p>
      <w:pPr>
        <w:pStyle w:val="BodyText"/>
      </w:pPr>
      <w:r>
        <w:rPr>
          <w:bCs/>
          <w:b/>
        </w:rPr>
        <w:t xml:space="preserve">For the Purchasing Party:</w:t>
      </w:r>
    </w:p>
    <w:p>
      <w:pPr>
        <w:pStyle w:val="BodyText"/>
      </w:pPr>
      <w:r>
        <w:t xml:space="preserve">Westside Residential Construction Group, LLC</w:t>
      </w:r>
    </w:p>
    <w:p>
      <w:pPr>
        <w:pStyle w:val="BodyText"/>
      </w:pPr>
      <w:r>
        <w:rPr>
          <w:bCs/>
          <w:b/>
        </w:rPr>
        <w:t xml:space="preserve">Daniel R. Whitfield</w:t>
      </w:r>
      <w:r>
        <w:br/>
      </w:r>
      <w:r>
        <w:t xml:space="preserve">Project Director</w:t>
      </w:r>
      <w:r>
        <w:br/>
      </w:r>
      <w:r>
        <w:t xml:space="preserve">Date: ______________________</w:t>
      </w:r>
    </w:p>
    <w:p>
      <w:pPr>
        <w:pStyle w:val="BodyText"/>
      </w:pPr>
      <w:r>
        <w:rPr>
          <w:bCs/>
          <w:b/>
        </w:rPr>
        <w:t xml:space="preserve">For the Supplier / Carpenter:</w:t>
      </w:r>
    </w:p>
    <w:p>
      <w:pPr>
        <w:pStyle w:val="BodyText"/>
      </w:pPr>
      <w:r>
        <w:t xml:space="preserve">Golden State Carpenter &amp; Woodworks, Inc.</w:t>
      </w:r>
    </w:p>
    <w:p>
      <w:pPr>
        <w:pStyle w:val="BodyText"/>
      </w:pPr>
      <w:r>
        <w:rPr>
          <w:bCs/>
          <w:b/>
        </w:rPr>
        <w:t xml:space="preserve">Angela M. Torres</w:t>
      </w:r>
      <w:r>
        <w:br/>
      </w:r>
      <w:r>
        <w:t xml:space="preserve">Master Carpenter &amp; Owner</w:t>
      </w:r>
      <w:r>
        <w:br/>
      </w:r>
      <w:r>
        <w:t xml:space="preserve">Date: ______________________</w:t>
      </w:r>
    </w:p>
    <w:p>
      <w:pPr>
        <w:pStyle w:val="BodyText"/>
      </w:pPr>
      <w:r>
        <w:t xml:space="preserve">This Purchase Order document (PO-LA-2025-04872) was prepared for use in United States Los Angeles, California. All Carpenter services and material deliveries referenced herein are to be performed at the project site located within the City of Los Angeles. This document is the property of Westside Residential Construction Group, LLC and may not be reproduced or distributed without written consent. © 2025 Westside Residential Construction Group,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United States Los Angeles</dc:title>
  <dc:creator/>
  <dc:language>en</dc:language>
  <cp:keywords/>
  <dcterms:created xsi:type="dcterms:W3CDTF">2026-10-10T01:24:23Z</dcterms:created>
  <dcterms:modified xsi:type="dcterms:W3CDTF">2026-10-10T01:24:23Z</dcterms:modified>
</cp:coreProperties>
</file>

<file path=docProps/custom.xml><?xml version="1.0" encoding="utf-8"?>
<Properties xmlns="http://schemas.openxmlformats.org/officeDocument/2006/custom-properties" xmlns:vt="http://schemas.openxmlformats.org/officeDocument/2006/docPropsVTypes"/>
</file>