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Carpenter Services &amp; Woodwork Installation — United States Miami</w:t>
      </w:r>
    </w:p>
    <w:bookmarkEnd w:id="20"/>
    <w:p>
      <w:pPr>
        <w:pStyle w:val="BodyText"/>
      </w:pPr>
      <w:r>
        <w:rPr>
          <w:bCs/>
          <w:b/>
        </w:rPr>
        <w:t xml:space="preserve">Purchase Order No.:</w:t>
      </w:r>
      <w:r>
        <w:t xml:space="preserve"> </w:t>
      </w:r>
      <w:r>
        <w:t xml:space="preserve">PO-MIA-2025-04872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Miami, FL</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South Florida Residential Development Group, LLC</w:t>
            </w:r>
          </w:p>
        </w:tc>
      </w:tr>
      <w:tr>
        <w:tc>
          <w:tcPr/>
          <w:p>
            <w:pPr>
              <w:pStyle w:val="Compact"/>
              <w:jc w:val="left"/>
            </w:pPr>
            <w:r>
              <w:rPr>
                <w:bCs/>
                <w:b/>
              </w:rPr>
              <w:t xml:space="preserve">Address:</w:t>
            </w:r>
            <w:r>
              <w:t xml:space="preserve"> </w:t>
            </w:r>
            <w:r>
              <w:t xml:space="preserve">1200 Biscayne Boulevard, Suite 450, Miami, Florida 33132, United States</w:t>
            </w:r>
          </w:p>
        </w:tc>
      </w:tr>
      <w:tr>
        <w:tc>
          <w:tcPr/>
          <w:p>
            <w:pPr>
              <w:pStyle w:val="Compact"/>
              <w:jc w:val="left"/>
            </w:pPr>
            <w:r>
              <w:rPr>
                <w:bCs/>
                <w:b/>
              </w:rPr>
              <w:t xml:space="preserve">Contact Person:</w:t>
            </w:r>
            <w:r>
              <w:t xml:space="preserve"> </w:t>
            </w:r>
            <w:r>
              <w:t xml:space="preserve">Mr. Alejandro Reyes, Project Director</w:t>
            </w:r>
          </w:p>
        </w:tc>
      </w:tr>
      <w:tr>
        <w:tc>
          <w:tcPr/>
          <w:p>
            <w:pPr>
              <w:pStyle w:val="Compact"/>
              <w:jc w:val="left"/>
            </w:pPr>
            <w:r>
              <w:rPr>
                <w:bCs/>
                <w:b/>
              </w:rPr>
              <w:t xml:space="preserve">Phone:</w:t>
            </w:r>
            <w:r>
              <w:t xml:space="preserve"> </w:t>
            </w:r>
            <w:r>
              <w:t xml:space="preserve">(305) 555-0147  | </w:t>
            </w:r>
            <w:r>
              <w:t xml:space="preserve"> </w:t>
            </w:r>
            <w:r>
              <w:rPr>
                <w:bCs/>
                <w:b/>
              </w:rPr>
              <w:t xml:space="preserve">Email:</w:t>
            </w:r>
            <w:r>
              <w:t xml:space="preserve"> </w:t>
            </w:r>
            <w:r>
              <w:t xml:space="preserve">a.reyes@sfresdev.com</w:t>
            </w:r>
          </w:p>
        </w:tc>
      </w:tr>
      <w:tr>
        <w:tc>
          <w:tcPr/>
          <w:p>
            <w:pPr>
              <w:pStyle w:val="Compact"/>
              <w:jc w:val="left"/>
            </w:pPr>
            <w:r>
              <w:rPr>
                <w:bCs/>
                <w:b/>
              </w:rPr>
              <w:t xml:space="preserve">Tax ID (EIN):</w:t>
            </w:r>
            <w:r>
              <w:t xml:space="preserve"> </w:t>
            </w:r>
            <w:r>
              <w:t xml:space="preserve">82-4471903</w:t>
            </w:r>
          </w:p>
        </w:tc>
      </w:tr>
    </w:tbl>
    <w:bookmarkEnd w:id="21"/>
    <w:bookmarkStart w:id="22" w:name="Xe4fb3e191ec1183543b50cb6cb22dd943a5bffb"/>
    <w:p>
      <w:pPr>
        <w:pStyle w:val="Heading2"/>
      </w:pPr>
      <w:r>
        <w:t xml:space="preserve">2. Supplier / Service Provider (Carpenter Contractor)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Miami Artisan Carpentry &amp; Woodworks, Inc.</w:t>
            </w:r>
          </w:p>
        </w:tc>
      </w:tr>
      <w:tr>
        <w:tc>
          <w:tcPr/>
          <w:p>
            <w:pPr>
              <w:pStyle w:val="Compact"/>
              <w:jc w:val="left"/>
            </w:pPr>
            <w:r>
              <w:rPr>
                <w:bCs/>
                <w:b/>
              </w:rPr>
              <w:t xml:space="preserve">Address:</w:t>
            </w:r>
            <w:r>
              <w:t xml:space="preserve"> </w:t>
            </w:r>
            <w:r>
              <w:t xml:space="preserve">847 NW 27th Avenue, Hialeah, Miami-Dade County, Florida 33014, United States</w:t>
            </w:r>
          </w:p>
        </w:tc>
      </w:tr>
      <w:tr>
        <w:tc>
          <w:tcPr/>
          <w:p>
            <w:pPr>
              <w:pStyle w:val="Compact"/>
              <w:jc w:val="left"/>
            </w:pPr>
            <w:r>
              <w:rPr>
                <w:bCs/>
                <w:b/>
              </w:rPr>
              <w:t xml:space="preserve">Contact Person:</w:t>
            </w:r>
            <w:r>
              <w:t xml:space="preserve"> </w:t>
            </w:r>
            <w:r>
              <w:t xml:space="preserve">Ms. Carmen Delgado, Lead Carpenter &amp; Owner</w:t>
            </w:r>
          </w:p>
        </w:tc>
      </w:tr>
      <w:tr>
        <w:tc>
          <w:tcPr/>
          <w:p>
            <w:pPr>
              <w:pStyle w:val="Compact"/>
              <w:jc w:val="left"/>
            </w:pPr>
            <w:r>
              <w:rPr>
                <w:bCs/>
                <w:b/>
              </w:rPr>
              <w:t xml:space="preserve">Phone:</w:t>
            </w:r>
            <w:r>
              <w:t xml:space="preserve"> </w:t>
            </w:r>
            <w:r>
              <w:t xml:space="preserve">(305) 555-0293  | </w:t>
            </w:r>
            <w:r>
              <w:t xml:space="preserve"> </w:t>
            </w:r>
            <w:r>
              <w:rPr>
                <w:bCs/>
                <w:b/>
              </w:rPr>
              <w:t xml:space="preserve">Email:</w:t>
            </w:r>
            <w:r>
              <w:t xml:space="preserve"> </w:t>
            </w:r>
            <w:r>
              <w:t xml:space="preserve">c.delgado@miamicarpentry.com</w:t>
            </w:r>
          </w:p>
        </w:tc>
      </w:tr>
      <w:tr>
        <w:tc>
          <w:tcPr/>
          <w:p>
            <w:pPr>
              <w:pStyle w:val="Compact"/>
              <w:jc w:val="left"/>
            </w:pPr>
            <w:r>
              <w:rPr>
                <w:bCs/>
                <w:b/>
              </w:rPr>
              <w:t xml:space="preserve">FL Contractor License No.:</w:t>
            </w:r>
            <w:r>
              <w:t xml:space="preserve"> </w:t>
            </w:r>
            <w:r>
              <w:t xml:space="preserve">CRC-1338472</w:t>
            </w:r>
          </w:p>
        </w:tc>
      </w:tr>
      <w:tr>
        <w:tc>
          <w:tcPr/>
          <w:p>
            <w:pPr>
              <w:pStyle w:val="Compact"/>
              <w:jc w:val="left"/>
            </w:pPr>
            <w:r>
              <w:rPr>
                <w:bCs/>
                <w:b/>
              </w:rPr>
              <w:t xml:space="preserve">Specialization:</w:t>
            </w:r>
            <w:r>
              <w:t xml:space="preserve"> </w:t>
            </w:r>
            <w:r>
              <w:t xml:space="preserve">Custom Cabinetry, Hardwood Flooring, Structural Wood Framing, and Architectural Millwork</w:t>
            </w:r>
          </w:p>
        </w:tc>
      </w:tr>
    </w:tbl>
    <w:bookmarkEnd w:id="22"/>
    <w:bookmarkStart w:id="23" w:name="scope-of-work-carpenter-services"/>
    <w:p>
      <w:pPr>
        <w:pStyle w:val="Heading2"/>
      </w:pPr>
      <w:r>
        <w:t xml:space="preserve">3. Scope of Work — Carpenter Services</w:t>
      </w:r>
    </w:p>
    <w:p>
      <w:pPr>
        <w:pStyle w:val="FirstParagraph"/>
      </w:pPr>
      <w:r>
        <w:t xml:space="preserve">This</w:t>
      </w:r>
      <w:r>
        <w:t xml:space="preserve"> </w:t>
      </w:r>
      <w:r>
        <w:t xml:space="preserve">Purchase Order</w:t>
      </w:r>
      <w:r>
        <w:t xml:space="preserve"> </w:t>
      </w:r>
      <w:r>
        <w:t xml:space="preserve">is issued by South Florida Residential Development Group, LLC to engage the services of Miami Artisan Carpentry &amp; Woodworks, Inc. for the provision of professional</w:t>
      </w:r>
      <w:r>
        <w:t xml:space="preserve"> </w:t>
      </w:r>
      <w:r>
        <w:t xml:space="preserve">Carpenter</w:t>
      </w:r>
      <w:r>
        <w:t xml:space="preserve"> </w:t>
      </w:r>
      <w:r>
        <w:t xml:space="preserve">labor, materials, and installation services at the buyer's residential development project located at 2200 Coral Way, Miami, Florida 33145,</w:t>
      </w:r>
      <w:r>
        <w:t xml:space="preserve"> </w:t>
      </w:r>
      <w:r>
        <w:t xml:space="preserve">United States Miami</w:t>
      </w:r>
      <w:r>
        <w:t xml:space="preserve"> </w:t>
      </w:r>
      <w:r>
        <w:t xml:space="preserve">metropolitan area. The</w:t>
      </w:r>
      <w:r>
        <w:t xml:space="preserve"> </w:t>
      </w:r>
      <w:r>
        <w:t xml:space="preserve">Carpenter</w:t>
      </w:r>
      <w:r>
        <w:t xml:space="preserve"> </w:t>
      </w:r>
      <w:r>
        <w:t xml:space="preserve">team shall perform all woodwork, cabinetry, flooring, and structural carpentry tasks in full compliance with the Florida Building Code, Miami-Dade County building regulations, and all applicable</w:t>
      </w:r>
      <w:r>
        <w:t xml:space="preserve"> </w:t>
      </w:r>
      <w:r>
        <w:t xml:space="preserve">United States</w:t>
      </w:r>
      <w:r>
        <w:t xml:space="preserve"> </w:t>
      </w:r>
      <w:r>
        <w:t xml:space="preserve">federal and state labor standards.</w:t>
      </w:r>
    </w:p>
    <w:bookmarkEnd w:id="23"/>
    <w:bookmarkStart w:id="24" w:name="line-items-carpenter-services-materials"/>
    <w:p>
      <w:pPr>
        <w:pStyle w:val="Heading2"/>
      </w:pPr>
      <w:r>
        <w:t xml:space="preserve">4. Line Items — Carpenter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Custom hardwood kitchen cabinetry design, fabrication, and installation (oak, 12 linear ft. per unit)</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002</w:t>
            </w:r>
          </w:p>
        </w:tc>
        <w:tc>
          <w:tcPr/>
          <w:p>
            <w:pPr>
              <w:pStyle w:val="Compact"/>
              <w:jc w:val="left"/>
            </w:pPr>
            <w:r>
              <w:t xml:space="preserve">Engineered hardwood flooring installation — living areas (Brazilian cherry, 1,200 sq. ft.)</w:t>
            </w:r>
          </w:p>
        </w:tc>
        <w:tc>
          <w:tcPr/>
          <w:p>
            <w:pPr>
              <w:pStyle w:val="Compact"/>
              <w:jc w:val="left"/>
            </w:pPr>
            <w:r>
              <w:t xml:space="preserve">1,200</w:t>
            </w:r>
          </w:p>
        </w:tc>
        <w:tc>
          <w:tcPr/>
          <w:p>
            <w:pPr>
              <w:pStyle w:val="Compact"/>
              <w:jc w:val="left"/>
            </w:pPr>
            <w:r>
              <w:t xml:space="preserve">Sq. Ft.</w:t>
            </w:r>
          </w:p>
        </w:tc>
        <w:tc>
          <w:tcPr/>
          <w:p>
            <w:pPr>
              <w:pStyle w:val="Compact"/>
              <w:jc w:val="left"/>
            </w:pPr>
            <w:r>
              <w:t xml:space="preserve">$8.75</w:t>
            </w:r>
          </w:p>
        </w:tc>
        <w:tc>
          <w:tcPr/>
          <w:p>
            <w:pPr>
              <w:pStyle w:val="Compact"/>
              <w:jc w:val="left"/>
            </w:pPr>
            <w:r>
              <w:t xml:space="preserve">$10,500.00</w:t>
            </w:r>
          </w:p>
        </w:tc>
      </w:tr>
      <w:tr>
        <w:tc>
          <w:tcPr/>
          <w:p>
            <w:pPr>
              <w:pStyle w:val="Compact"/>
              <w:jc w:val="left"/>
            </w:pPr>
            <w:r>
              <w:t xml:space="preserve">003</w:t>
            </w:r>
          </w:p>
        </w:tc>
        <w:tc>
          <w:tcPr/>
          <w:p>
            <w:pPr>
              <w:pStyle w:val="Compact"/>
              <w:jc w:val="left"/>
            </w:pPr>
            <w:r>
              <w:t xml:space="preserve">Structural wood framing and load-bearing beam reinforcement (second floor addition)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004</w:t>
            </w:r>
          </w:p>
        </w:tc>
        <w:tc>
          <w:tcPr/>
          <w:p>
            <w:pPr>
              <w:pStyle w:val="Compact"/>
              <w:jc w:val="left"/>
            </w:pPr>
            <w:r>
              <w:t xml:space="preserve">Architectural millwork — entryway feature wall, built-in shelving, and crown molding (walnut veneer)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$7,650.00</w:t>
            </w:r>
          </w:p>
        </w:tc>
        <w:tc>
          <w:tcPr/>
          <w:p>
            <w:pPr>
              <w:pStyle w:val="Compact"/>
              <w:jc w:val="left"/>
            </w:pPr>
            <w:r>
              <w:t xml:space="preserve">$7,650.00</w:t>
            </w:r>
          </w:p>
        </w:tc>
      </w:tr>
      <w:tr>
        <w:tc>
          <w:tcPr/>
          <w:p>
            <w:pPr>
              <w:pStyle w:val="Compact"/>
              <w:jc w:val="left"/>
            </w:pPr>
            <w:r>
              <w:t xml:space="preserve">005</w:t>
            </w:r>
          </w:p>
        </w:tc>
        <w:tc>
          <w:tcPr/>
          <w:p>
            <w:pPr>
              <w:pStyle w:val="Compact"/>
              <w:jc w:val="left"/>
            </w:pPr>
            <w:r>
              <w:t xml:space="preserve">Bathroom vanity construction and installation (3 units, teak with marble countertops)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$2,900.00</w:t>
            </w:r>
          </w:p>
        </w:tc>
        <w:tc>
          <w:tcPr/>
          <w:p>
            <w:pPr>
              <w:pStyle w:val="Compact"/>
              <w:jc w:val="left"/>
            </w:pPr>
            <w:r>
              <w:t xml:space="preserve">$8,700.00</w:t>
            </w:r>
          </w:p>
        </w:tc>
      </w:tr>
      <w:tr>
        <w:tc>
          <w:tcPr/>
          <w:p>
            <w:pPr>
              <w:pStyle w:val="Compact"/>
              <w:jc w:val="left"/>
            </w:pPr>
            <w:r>
              <w:t xml:space="preserve">006</w:t>
            </w:r>
          </w:p>
        </w:tc>
        <w:tc>
          <w:tcPr/>
          <w:p>
            <w:pPr>
              <w:pStyle w:val="Compact"/>
              <w:jc w:val="left"/>
            </w:pPr>
            <w:r>
              <w:t xml:space="preserve">Exterior wood deck construction and hurricane-rated railing system (Miami-Dade County compliant)</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007</w:t>
            </w:r>
          </w:p>
        </w:tc>
        <w:tc>
          <w:tcPr/>
          <w:p>
            <w:pPr>
              <w:pStyle w:val="Compact"/>
              <w:jc w:val="left"/>
            </w:pPr>
            <w:r>
              <w:t xml:space="preserve">On-site Carpenter supervision, project management, and daily labor (Lead Carpenter + 4 journeymen,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$1,150.00</w:t>
            </w:r>
          </w:p>
        </w:tc>
        <w:tc>
          <w:tcPr/>
          <w:p>
            <w:pPr>
              <w:pStyle w:val="Compact"/>
              <w:jc w:val="left"/>
            </w:pPr>
            <w:r>
              <w:t xml:space="preserve">$51,750.00</w:t>
            </w:r>
          </w:p>
        </w:tc>
      </w:tr>
      <w:tr>
        <w:tc>
          <w:tcPr/>
          <w:p>
            <w:pPr>
              <w:pStyle w:val="Compact"/>
              <w:jc w:val="left"/>
            </w:pPr>
            <w:r>
              <w:t xml:space="preserve">008</w:t>
            </w:r>
          </w:p>
        </w:tc>
        <w:tc>
          <w:tcPr/>
          <w:p>
            <w:pPr>
              <w:pStyle w:val="Compact"/>
              <w:jc w:val="left"/>
            </w:pPr>
            <w:r>
              <w:t xml:space="preserve">Specialty tools, adhesives, fasteners, sealants, and finishing materials (included in Carpenter labor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SUBTOTAL</w:t>
            </w:r>
          </w:p>
        </w:tc>
        <w:tc>
          <w:tcPr/>
          <w:p>
            <w:pPr>
              <w:pStyle w:val="Compact"/>
              <w:jc w:val="left"/>
            </w:pPr>
            <w:r>
              <w:t xml:space="preserve">$122,900.00</w:t>
            </w:r>
          </w:p>
        </w:tc>
      </w:tr>
      <w:tr>
        <w:tc>
          <w:tcPr>
            <w:gridSpan w:val="5"/>
          </w:tcPr>
          <w:p>
            <w:pPr>
              <w:pStyle w:val="Compact"/>
              <w:jc w:val="right"/>
            </w:pPr>
            <w:r>
              <w:t xml:space="preserve">Florida Sales Tax (7.0%)</w:t>
            </w:r>
          </w:p>
        </w:tc>
        <w:tc>
          <w:tcPr/>
          <w:p>
            <w:pPr>
              <w:pStyle w:val="Compact"/>
              <w:jc w:val="left"/>
            </w:pPr>
            <w:r>
              <w:t xml:space="preserve">$8,603.00</w:t>
            </w:r>
          </w:p>
        </w:tc>
      </w:tr>
      <w:tr>
        <w:tc>
          <w:tcPr>
            <w:gridSpan w:val="5"/>
          </w:tcPr>
          <w:p>
            <w:pPr>
              <w:pStyle w:val="Compact"/>
              <w:jc w:val="right"/>
            </w:pPr>
            <w:r>
              <w:t xml:space="preserve">MIAMI-Dade County Surcharge (1.0%)</w:t>
            </w:r>
          </w:p>
        </w:tc>
        <w:tc>
          <w:tcPr/>
          <w:p>
            <w:pPr>
              <w:pStyle w:val="Compact"/>
              <w:jc w:val="left"/>
            </w:pPr>
            <w:r>
              <w:t xml:space="preserve">$1,229.00</w:t>
            </w:r>
          </w:p>
        </w:tc>
      </w:tr>
      <w:tr>
        <w:tc>
          <w:tcPr>
            <w:gridSpan w:val="5"/>
          </w:tcPr>
          <w:p>
            <w:pPr>
              <w:pStyle w:val="Compact"/>
              <w:jc w:val="right"/>
            </w:pPr>
            <w:r>
              <w:t xml:space="preserve">GRAND TOTAL (USD)</w:t>
            </w:r>
          </w:p>
        </w:tc>
        <w:tc>
          <w:tcPr/>
          <w:p>
            <w:pPr>
              <w:pStyle w:val="Compact"/>
              <w:jc w:val="left"/>
            </w:pPr>
            <w:r>
              <w:t xml:space="preserve">$132,732.00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w:t>
      </w:r>
      <w:r>
        <w:t xml:space="preserve"> </w:t>
      </w:r>
      <w:r>
        <w:t xml:space="preserve">Carpenter</w:t>
      </w:r>
      <w:r>
        <w:t xml:space="preserve"> </w:t>
      </w:r>
      <w:r>
        <w:t xml:space="preserve">contractor upon signature by both parties. All work shall be performed in and around the</w:t>
      </w:r>
      <w:r>
        <w:t xml:space="preserve"> </w:t>
      </w:r>
      <w:r>
        <w:t xml:space="preserve">United States Miami</w:t>
      </w:r>
      <w:r>
        <w:t xml:space="preserve"> </w:t>
      </w:r>
      <w:r>
        <w:t xml:space="preserve">area, specifically within Miami-Dade County, Florida.</w:t>
      </w:r>
    </w:p>
    <w:p>
      <w:pPr>
        <w:pStyle w:val="BodyText"/>
      </w:pPr>
      <w:r>
        <w:rPr>
          <w:bCs/>
          <w:b/>
        </w:rPr>
        <w:t xml:space="preserve">5.2</w:t>
      </w:r>
      <w:r>
        <w:t xml:space="preserve"> </w:t>
      </w:r>
      <w:r>
        <w:t xml:space="preserve">The</w:t>
      </w:r>
      <w:r>
        <w:t xml:space="preserve"> </w:t>
      </w:r>
      <w:r>
        <w:t xml:space="preserve">Carpenter</w:t>
      </w:r>
      <w:r>
        <w:t xml:space="preserve"> </w:t>
      </w:r>
      <w:r>
        <w:t xml:space="preserve">contractor shall maintain a valid Florida Class A General Contractor license and shall carry minimum liability insurance of $2,000,000 per occurrence and workers' compensation coverage for all crew members as required by the State of Florida.</w:t>
      </w:r>
    </w:p>
    <w:p>
      <w:pPr>
        <w:pStyle w:val="BodyText"/>
      </w:pPr>
      <w:r>
        <w:rPr>
          <w:bCs/>
          <w:b/>
        </w:rPr>
        <w:t xml:space="preserve">5.3</w:t>
      </w:r>
      <w:r>
        <w:t xml:space="preserve"> </w:t>
      </w:r>
      <w:r>
        <w:t xml:space="preserve">Payment shall be made in three installments: 30% upon execution of this</w:t>
      </w:r>
      <w:r>
        <w:t xml:space="preserve"> </w:t>
      </w:r>
      <w:r>
        <w:t xml:space="preserve">Purchase Order</w:t>
      </w:r>
      <w:r>
        <w:t xml:space="preserve">, 40% upon completion of structural and cabinetry work, and 30% upon final inspection and sign-off. All payments shall be processed in United States Dollars via ACH transfer to the account designated by the</w:t>
      </w:r>
      <w:r>
        <w:t xml:space="preserve"> </w:t>
      </w:r>
      <w:r>
        <w:t xml:space="preserve">Carpenter</w:t>
      </w:r>
      <w:r>
        <w:t xml:space="preserve"> </w:t>
      </w:r>
      <w:r>
        <w:t xml:space="preserve">contractor.</w:t>
      </w:r>
    </w:p>
    <w:p>
      <w:pPr>
        <w:pStyle w:val="BodyText"/>
      </w:pPr>
      <w:r>
        <w:rPr>
          <w:bCs/>
          <w:b/>
        </w:rPr>
        <w:t xml:space="preserve">5.4</w:t>
      </w:r>
      <w:r>
        <w:t xml:space="preserve"> </w:t>
      </w:r>
      <w:r>
        <w:t xml:space="preserve">The</w:t>
      </w:r>
      <w:r>
        <w:t xml:space="preserve"> </w:t>
      </w:r>
      <w:r>
        <w:t xml:space="preserve">Carpenter</w:t>
      </w:r>
      <w:r>
        <w:t xml:space="preserve"> </w:t>
      </w:r>
      <w:r>
        <w:t xml:space="preserve">team shall adhere to all OSHA safety regulations, Miami-Dade County building codes, and hurricane-resistance standards applicable to the</w:t>
      </w:r>
      <w:r>
        <w:t xml:space="preserve"> </w:t>
      </w:r>
      <w:r>
        <w:t xml:space="preserve">United States Miami</w:t>
      </w:r>
      <w:r>
        <w:t xml:space="preserve"> </w:t>
      </w:r>
      <w:r>
        <w:t xml:space="preserve">coastal zone. All wood materials used for exterior applications must be rated for high-humidity and salt-air environments typical of the</w:t>
      </w:r>
      <w:r>
        <w:t xml:space="preserve"> </w:t>
      </w:r>
      <w:r>
        <w:t xml:space="preserve">United States Miami</w:t>
      </w:r>
      <w:r>
        <w:t xml:space="preserve"> </w:t>
      </w:r>
      <w:r>
        <w:t xml:space="preserve">climate.</w:t>
      </w:r>
    </w:p>
    <w:p>
      <w:pPr>
        <w:pStyle w:val="BodyText"/>
      </w:pPr>
      <w:r>
        <w:rPr>
          <w:bCs/>
          <w:b/>
        </w:rPr>
        <w:t xml:space="preserve">5.5</w:t>
      </w:r>
      <w:r>
        <w:t xml:space="preserve"> </w:t>
      </w:r>
      <w:r>
        <w:t xml:space="preserve">A warranty of 24 months shall apply to all</w:t>
      </w:r>
      <w:r>
        <w:t xml:space="preserve"> </w:t>
      </w:r>
      <w:r>
        <w:t xml:space="preserve">Carpenter</w:t>
      </w:r>
      <w:r>
        <w:t xml:space="preserve"> </w:t>
      </w:r>
      <w:r>
        <w:t xml:space="preserve">workmanship. Material warranties shall be governed by the respective manufacturers' terms. Any defects discovered within the warranty period shall be remedied by the</w:t>
      </w:r>
      <w:r>
        <w:t xml:space="preserve"> </w:t>
      </w:r>
      <w:r>
        <w:t xml:space="preserve">Carpenter</w:t>
      </w:r>
      <w:r>
        <w:t xml:space="preserve"> </w:t>
      </w:r>
      <w:r>
        <w:t xml:space="preserve">contractor at no additional cost to the Buyer.</w:t>
      </w:r>
    </w:p>
    <w:p>
      <w:pPr>
        <w:pStyle w:val="BodyText"/>
      </w:pPr>
      <w:r>
        <w:rPr>
          <w:bCs/>
          <w:b/>
        </w:rPr>
        <w:t xml:space="preserve">5.6</w:t>
      </w:r>
      <w:r>
        <w:t xml:space="preserve"> </w:t>
      </w:r>
      <w:r>
        <w:t xml:space="preserve">The</w:t>
      </w:r>
      <w:r>
        <w:t xml:space="preserve"> </w:t>
      </w:r>
      <w:r>
        <w:t xml:space="preserve">Carpenter</w:t>
      </w:r>
      <w:r>
        <w:t xml:space="preserve"> </w:t>
      </w:r>
      <w:r>
        <w:t xml:space="preserve">contractor shall provide a detailed daily progress report to the Buyer's Project Director. Any changes in scope, schedule, or cost must be documented in a written Change Order signed by both parties before additional work commences.</w:t>
      </w:r>
    </w:p>
    <w:p>
      <w:pPr>
        <w:pStyle w:val="BodyText"/>
      </w:pPr>
      <w:r>
        <w:rPr>
          <w:bCs/>
          <w:b/>
        </w:rPr>
        <w:t xml:space="preserve">5.7</w:t>
      </w:r>
      <w:r>
        <w:t xml:space="preserve"> </w:t>
      </w:r>
      <w:r>
        <w:t xml:space="preserve">This</w:t>
      </w:r>
      <w:r>
        <w:t xml:space="preserve"> </w:t>
      </w:r>
      <w:r>
        <w:t xml:space="preserve">Purchase Order</w:t>
      </w:r>
      <w:r>
        <w:t xml:space="preserve"> </w:t>
      </w:r>
      <w:r>
        <w:t xml:space="preserve">shall be governed by and construed in accordance with the laws of the State of Florida, United States. Any disputes arising hereunder shall be resolved through binding arbitration in Miami, Florida, in accordance with the rules of the American Arbitration Association.</w:t>
      </w:r>
    </w:p>
    <w:p>
      <w:pPr>
        <w:pStyle w:val="BodyText"/>
      </w:pPr>
      <w:r>
        <w:rPr>
          <w:bCs/>
          <w:b/>
        </w:rPr>
        <w:t xml:space="preserve">5.8</w:t>
      </w:r>
      <w:r>
        <w:t xml:space="preserve"> </w:t>
      </w:r>
      <w:r>
        <w:t xml:space="preserve">The</w:t>
      </w:r>
      <w:r>
        <w:t xml:space="preserve"> </w:t>
      </w:r>
      <w:r>
        <w:t xml:space="preserve">Carpenter</w:t>
      </w:r>
      <w:r>
        <w:t xml:space="preserve"> </w:t>
      </w:r>
      <w:r>
        <w:t xml:space="preserve">contractor shall not subcontract any portion of the work without prior written consent from the Buyer. All personnel assigned to this project must be legally authorized to work in the</w:t>
      </w:r>
      <w:r>
        <w:t xml:space="preserve"> </w:t>
      </w:r>
      <w:r>
        <w:t xml:space="preserve">United States</w:t>
      </w:r>
      <w:r>
        <w:t xml:space="preserve">.</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w:t>
      </w:r>
      <w:r>
        <w:t xml:space="preserve"> </w:t>
      </w:r>
      <w:r>
        <w:t xml:space="preserve">Carpenter</w:t>
      </w:r>
      <w:r>
        <w:t xml:space="preserve"> </w:t>
      </w:r>
      <w:r>
        <w:t xml:space="preserve">services to be performed in</w:t>
      </w:r>
      <w:r>
        <w:t xml:space="preserve"> </w:t>
      </w:r>
      <w:r>
        <w:t xml:space="preserve">United States Miami</w:t>
      </w:r>
      <w:r>
        <w:t xml:space="preserve">.</w:t>
      </w:r>
    </w:p>
    <w:p>
      <w:pPr>
        <w:pStyle w:val="BodyText"/>
      </w:pPr>
      <w:r>
        <w:rPr>
          <w:bCs/>
          <w:b/>
        </w:rPr>
        <w:t xml:space="preserve">BUYER:</w:t>
      </w:r>
      <w:r>
        <w:t xml:space="preserve"> </w:t>
      </w:r>
      <w:r>
        <w:t xml:space="preserve">South Florida Residential Development Group, LLC</w:t>
      </w:r>
    </w:p>
    <w:p>
      <w:pPr>
        <w:pStyle w:val="BodyText"/>
      </w:pPr>
      <w:r>
        <w:rPr>
          <w:bCs/>
          <w:b/>
        </w:rPr>
        <w:t xml:space="preserve">Name:</w:t>
      </w:r>
      <w:r>
        <w:t xml:space="preserve"> </w:t>
      </w:r>
      <w:r>
        <w:t xml:space="preserve">Alejandro Reyes</w:t>
      </w:r>
      <w:r>
        <w:br/>
      </w:r>
      <w:r>
        <w:rPr>
          <w:bCs/>
          <w:b/>
        </w:rPr>
        <w:t xml:space="preserve">Title:</w:t>
      </w:r>
      <w:r>
        <w:t xml:space="preserve"> </w:t>
      </w:r>
      <w:r>
        <w:t xml:space="preserve">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CARPENTER CONTRACTOR:</w:t>
      </w:r>
      <w:r>
        <w:t xml:space="preserve"> </w:t>
      </w:r>
      <w:r>
        <w:t xml:space="preserve">Miami Artisan Carpentry &amp; Woodworks, Inc.</w:t>
      </w:r>
    </w:p>
    <w:p>
      <w:pPr>
        <w:pStyle w:val="BodyText"/>
      </w:pPr>
      <w:r>
        <w:rPr>
          <w:bCs/>
          <w:b/>
        </w:rPr>
        <w:t xml:space="preserve">Name:</w:t>
      </w:r>
      <w:r>
        <w:t xml:space="preserve"> </w:t>
      </w:r>
      <w:r>
        <w:t xml:space="preserve">Carmen Delgado</w:t>
      </w:r>
      <w:r>
        <w:br/>
      </w:r>
      <w:r>
        <w:rPr>
          <w:bCs/>
          <w:b/>
        </w:rPr>
        <w:t xml:space="preserve">Title:</w:t>
      </w:r>
      <w:r>
        <w:t xml:space="preserve"> </w:t>
      </w:r>
      <w:r>
        <w:t xml:space="preserve">Lead Carpenter /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(PO-MIA-2025-04872) is valid for 60 calendar days from the date of issue. For questions regarding this Carpenter services Purchase Order in United States Miami, contact the Buyer's procurement office at (305) 555-0147. Document generated in compliance with Florida Statutes Chapter 551 and applicable United States federal procurement guidelines.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States Miami</dc:title>
  <dc:creator/>
  <dc:language>en</dc:language>
  <cp:keywords/>
  <dcterms:created xsi:type="dcterms:W3CDTF">2026-10-10T03:13:02Z</dcterms:created>
  <dcterms:modified xsi:type="dcterms:W3CDTF">2026-10-10T03:13:02Z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