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Chef</w:t>
      </w:r>
      <w:r>
        <w:t xml:space="preserve"> </w:t>
      </w:r>
      <w:r>
        <w:t xml:space="preserve">Services</w:t>
      </w:r>
      <w:r>
        <w:t xml:space="preserve"> </w:t>
      </w:r>
      <w:r>
        <w:t xml:space="preserve">-</w:t>
      </w:r>
      <w:r>
        <w:t xml:space="preserve"> </w:t>
      </w:r>
      <w:r>
        <w:t xml:space="preserve">Indonesia</w:t>
      </w:r>
      <w:r>
        <w:t xml:space="preserve"> </w:t>
      </w:r>
      <w:r>
        <w:t xml:space="preserve">Jakarta</w:t>
      </w:r>
    </w:p>
    <w:bookmarkStart w:id="20" w:name="purchase-order"/>
    <w:p>
      <w:pPr>
        <w:pStyle w:val="Heading1"/>
      </w:pPr>
      <w:r>
        <w:t xml:space="preserve">PURCHASE ORDER</w:t>
      </w:r>
    </w:p>
    <w:p>
      <w:pPr>
        <w:pStyle w:val="FirstParagraph"/>
      </w:pPr>
      <w:r>
        <w:t xml:space="preserve">Procurement of Professional Chef Services &amp; Culinary Equipment</w:t>
      </w:r>
    </w:p>
    <w:p>
      <w:pPr>
        <w:pStyle w:val="BodyText"/>
      </w:pPr>
      <w:r>
        <w:t xml:space="preserve">Indonesia Jakarta — Special Capital Region of Jakarta (DKI Jakarta)</w:t>
      </w:r>
    </w:p>
    <w:bookmarkEnd w:id="20"/>
    <w:p>
      <w:pPr>
        <w:pStyle w:val="BodyText"/>
      </w:pPr>
      <w:r>
        <w:rPr>
          <w:bCs/>
          <w:b/>
        </w:rPr>
        <w:t xml:space="preserve">Purchase Order No.:</w:t>
      </w:r>
      <w:r>
        <w:t xml:space="preserve"> </w:t>
      </w:r>
      <w:r>
        <w:t xml:space="preserve">PO-JKT-CHEF-2025-0047</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Buyer:</w:t>
      </w:r>
      <w:r>
        <w:t xml:space="preserve"> </w:t>
      </w:r>
      <w:r>
        <w:t xml:space="preserve">Nusantara Culinary Group PT</w:t>
      </w:r>
      <w:r>
        <w:br/>
      </w:r>
      <w:r>
        <w:rPr>
          <w:bCs/>
          <w:b/>
        </w:rPr>
        <w:t xml:space="preserve">Address:</w:t>
      </w:r>
      <w:r>
        <w:t xml:space="preserve"> </w:t>
      </w:r>
      <w:r>
        <w:t xml:space="preserve">Menara Jakarta, 12th Floor, SCBD District, Jakarta Selatan, Indonesia Jakarta 12190</w:t>
      </w:r>
      <w:r>
        <w:br/>
      </w:r>
      <w:r>
        <w:rPr>
          <w:bCs/>
          <w:b/>
        </w:rPr>
        <w:t xml:space="preserve">NPWP:</w:t>
      </w:r>
      <w:r>
        <w:t xml:space="preserve"> </w:t>
      </w:r>
      <w:r>
        <w:t xml:space="preserve">01.234.567.8-901.000</w:t>
      </w:r>
    </w:p>
    <w:p>
      <w:pPr>
        <w:pStyle w:val="BodyText"/>
      </w:pPr>
      <w:r>
        <w:t xml:space="preserve">1. Vendor / Supplier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PT Cita Rasa Profesional Indonesia</w:t>
            </w:r>
          </w:p>
        </w:tc>
      </w:tr>
      <w:tr>
        <w:tc>
          <w:tcPr/>
          <w:p>
            <w:pPr>
              <w:pStyle w:val="Compact"/>
              <w:jc w:val="left"/>
            </w:pPr>
            <w:r>
              <w:rPr>
                <w:bCs/>
                <w:b/>
              </w:rPr>
              <w:t xml:space="preserve">Address:</w:t>
            </w:r>
          </w:p>
        </w:tc>
        <w:tc>
          <w:tcPr/>
          <w:p>
            <w:pPr>
              <w:pStyle w:val="Compact"/>
              <w:jc w:val="left"/>
            </w:pPr>
            <w:r>
              <w:t xml:space="preserve">Jl. Jend. Sudirman Kav. 52-53, Jakarta Pusat, Indonesia Jakarta 10220</w:t>
            </w:r>
          </w:p>
        </w:tc>
      </w:tr>
      <w:tr>
        <w:tc>
          <w:tcPr/>
          <w:p>
            <w:pPr>
              <w:pStyle w:val="Compact"/>
              <w:jc w:val="left"/>
            </w:pPr>
            <w:r>
              <w:rPr>
                <w:bCs/>
                <w:b/>
              </w:rPr>
              <w:t xml:space="preserve">Contact Person:</w:t>
            </w:r>
          </w:p>
        </w:tc>
        <w:tc>
          <w:tcPr/>
          <w:p>
            <w:pPr>
              <w:pStyle w:val="Compact"/>
              <w:jc w:val="left"/>
            </w:pPr>
            <w:r>
              <w:t xml:space="preserve">Bpk. Hendra Wijaya, Director of Culinary Staffing</w:t>
            </w:r>
          </w:p>
        </w:tc>
      </w:tr>
      <w:tr>
        <w:tc>
          <w:tcPr/>
          <w:p>
            <w:pPr>
              <w:pStyle w:val="Compact"/>
              <w:jc w:val="left"/>
            </w:pPr>
            <w:r>
              <w:rPr>
                <w:bCs/>
                <w:b/>
              </w:rPr>
              <w:t xml:space="preserve">Phone / Email:</w:t>
            </w:r>
          </w:p>
        </w:tc>
        <w:tc>
          <w:tcPr/>
          <w:p>
            <w:pPr>
              <w:pStyle w:val="Compact"/>
              <w:jc w:val="left"/>
            </w:pPr>
            <w:r>
              <w:t xml:space="preserve">+62-21-5555-8899 / procurement@citapros.co.id</w:t>
            </w:r>
          </w:p>
        </w:tc>
      </w:tr>
      <w:tr>
        <w:tc>
          <w:tcPr/>
          <w:p>
            <w:pPr>
              <w:pStyle w:val="Compact"/>
              <w:jc w:val="left"/>
            </w:pPr>
            <w:r>
              <w:rPr>
                <w:bCs/>
                <w:b/>
              </w:rPr>
              <w:t xml:space="preserve">NPWP:</w:t>
            </w:r>
          </w:p>
        </w:tc>
        <w:tc>
          <w:tcPr/>
          <w:p>
            <w:pPr>
              <w:pStyle w:val="Compact"/>
              <w:jc w:val="left"/>
            </w:pPr>
            <w:r>
              <w:t xml:space="preserve">09.876.543.2-101.000</w:t>
            </w:r>
          </w:p>
        </w:tc>
      </w:tr>
    </w:tbl>
    <w:p>
      <w:pPr>
        <w:pStyle w:val="BodyText"/>
      </w:pPr>
      <w:r>
        <w:t xml:space="preserve">2. Purchase Order Line Items — Chef Services and Equipment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(IDR)</w:t>
            </w:r>
          </w:p>
        </w:tc>
        <w:tc>
          <w:tcPr/>
          <w:p>
            <w:pPr>
              <w:pStyle w:val="Compact"/>
              <w:jc w:val="left"/>
            </w:pPr>
            <w:r>
              <w:t xml:space="preserve">Total (IDR)</w:t>
            </w:r>
          </w:p>
        </w:tc>
      </w:tr>
      <w:tr>
        <w:tc>
          <w:tcPr/>
          <w:p>
            <w:pPr>
              <w:pStyle w:val="Compact"/>
              <w:jc w:val="left"/>
            </w:pPr>
            <w:r>
              <w:t xml:space="preserve">01</w:t>
            </w:r>
          </w:p>
        </w:tc>
        <w:tc>
          <w:tcPr/>
          <w:p>
            <w:pPr>
              <w:pStyle w:val="Compact"/>
              <w:jc w:val="left"/>
            </w:pPr>
            <w:r>
              <w:t xml:space="preserve">Executive Chef — Full-time engagement (12 months), specializing in Indonesian and international cuisine, based at Indonesia Jakarta headquarters kitchen</w:t>
            </w:r>
          </w:p>
        </w:tc>
        <w:tc>
          <w:tcPr/>
          <w:p>
            <w:pPr>
              <w:pStyle w:val="Compact"/>
              <w:jc w:val="left"/>
            </w:pPr>
            <w:r>
              <w:t xml:space="preserve">1</w:t>
            </w:r>
          </w:p>
        </w:tc>
        <w:tc>
          <w:tcPr/>
          <w:p>
            <w:pPr>
              <w:pStyle w:val="Compact"/>
              <w:jc w:val="left"/>
            </w:pPr>
            <w:r>
              <w:t xml:space="preserve">Contract</w:t>
            </w:r>
          </w:p>
        </w:tc>
        <w:tc>
          <w:tcPr/>
          <w:p>
            <w:pPr>
              <w:pStyle w:val="Compact"/>
              <w:jc w:val="left"/>
            </w:pPr>
            <w:r>
              <w:t xml:space="preserve">18,000,000</w:t>
            </w:r>
          </w:p>
        </w:tc>
        <w:tc>
          <w:tcPr/>
          <w:p>
            <w:pPr>
              <w:pStyle w:val="Compact"/>
              <w:jc w:val="left"/>
            </w:pPr>
            <w:r>
              <w:t xml:space="preserve">216,000,000</w:t>
            </w:r>
          </w:p>
        </w:tc>
      </w:tr>
      <w:tr>
        <w:tc>
          <w:tcPr/>
          <w:p>
            <w:pPr>
              <w:pStyle w:val="Compact"/>
              <w:jc w:val="left"/>
            </w:pPr>
            <w:r>
              <w:t xml:space="preserve">02</w:t>
            </w:r>
          </w:p>
        </w:tc>
        <w:tc>
          <w:tcPr/>
          <w:p>
            <w:pPr>
              <w:pStyle w:val="Compact"/>
              <w:jc w:val="left"/>
            </w:pPr>
            <w:r>
              <w:t xml:space="preserve">Sous Chef — Full-time engagement (12 months), supporting the Executive Chef in all daily operations within Indonesia Jakarta</w:t>
            </w:r>
          </w:p>
        </w:tc>
        <w:tc>
          <w:tcPr/>
          <w:p>
            <w:pPr>
              <w:pStyle w:val="Compact"/>
              <w:jc w:val="left"/>
            </w:pPr>
            <w:r>
              <w:t xml:space="preserve">1</w:t>
            </w:r>
          </w:p>
        </w:tc>
        <w:tc>
          <w:tcPr/>
          <w:p>
            <w:pPr>
              <w:pStyle w:val="Compact"/>
              <w:jc w:val="left"/>
            </w:pPr>
            <w:r>
              <w:t xml:space="preserve">Contract</w:t>
            </w:r>
          </w:p>
        </w:tc>
        <w:tc>
          <w:tcPr/>
          <w:p>
            <w:pPr>
              <w:pStyle w:val="Compact"/>
              <w:jc w:val="left"/>
            </w:pPr>
            <w:r>
              <w:t xml:space="preserve">12,000,000</w:t>
            </w:r>
          </w:p>
        </w:tc>
        <w:tc>
          <w:tcPr/>
          <w:p>
            <w:pPr>
              <w:pStyle w:val="Compact"/>
              <w:jc w:val="left"/>
            </w:pPr>
            <w:r>
              <w:t xml:space="preserve">144,000,000</w:t>
            </w:r>
          </w:p>
        </w:tc>
      </w:tr>
      <w:tr>
        <w:tc>
          <w:tcPr/>
          <w:p>
            <w:pPr>
              <w:pStyle w:val="Compact"/>
              <w:jc w:val="left"/>
            </w:pPr>
            <w:r>
              <w:t xml:space="preserve">03</w:t>
            </w:r>
          </w:p>
        </w:tc>
        <w:tc>
          <w:tcPr/>
          <w:p>
            <w:pPr>
              <w:pStyle w:val="Compact"/>
              <w:jc w:val="left"/>
            </w:pPr>
            <w:r>
              <w:t xml:space="preserve">Chef de Partie (Pastry) — Full-time engagement (12 months), responsible for all pastry and dessert production</w:t>
            </w:r>
          </w:p>
        </w:tc>
        <w:tc>
          <w:tcPr/>
          <w:p>
            <w:pPr>
              <w:pStyle w:val="Compact"/>
              <w:jc w:val="left"/>
            </w:pPr>
            <w:r>
              <w:t xml:space="preserve">1</w:t>
            </w:r>
          </w:p>
        </w:tc>
        <w:tc>
          <w:tcPr/>
          <w:p>
            <w:pPr>
              <w:pStyle w:val="Compact"/>
              <w:jc w:val="left"/>
            </w:pPr>
            <w:r>
              <w:t xml:space="preserve">Contract</w:t>
            </w:r>
          </w:p>
        </w:tc>
        <w:tc>
          <w:tcPr/>
          <w:p>
            <w:pPr>
              <w:pStyle w:val="Compact"/>
              <w:jc w:val="left"/>
            </w:pPr>
            <w:r>
              <w:t xml:space="preserve">9,500,000</w:t>
            </w:r>
          </w:p>
        </w:tc>
        <w:tc>
          <w:tcPr/>
          <w:p>
            <w:pPr>
              <w:pStyle w:val="Compact"/>
              <w:jc w:val="left"/>
            </w:pPr>
            <w:r>
              <w:t xml:space="preserve">114,000,000</w:t>
            </w:r>
          </w:p>
        </w:tc>
      </w:tr>
      <w:tr>
        <w:tc>
          <w:tcPr/>
          <w:p>
            <w:pPr>
              <w:pStyle w:val="Compact"/>
              <w:jc w:val="left"/>
            </w:pPr>
            <w:r>
              <w:t xml:space="preserve">04</w:t>
            </w:r>
          </w:p>
        </w:tc>
        <w:tc>
          <w:tcPr/>
          <w:p>
            <w:pPr>
              <w:pStyle w:val="Compact"/>
              <w:jc w:val="left"/>
            </w:pPr>
            <w:r>
              <w:t xml:space="preserve">Professional Chef Knife Set (12 pieces, Japanese steel) — for the Indonesia Jakarta central kitchen</w:t>
            </w:r>
          </w:p>
        </w:tc>
        <w:tc>
          <w:tcPr/>
          <w:p>
            <w:pPr>
              <w:pStyle w:val="Compact"/>
              <w:jc w:val="left"/>
            </w:pPr>
            <w:r>
              <w:t xml:space="preserve">3</w:t>
            </w:r>
          </w:p>
        </w:tc>
        <w:tc>
          <w:tcPr/>
          <w:p>
            <w:pPr>
              <w:pStyle w:val="Compact"/>
              <w:jc w:val="left"/>
            </w:pPr>
            <w:r>
              <w:t xml:space="preserve">Set</w:t>
            </w:r>
          </w:p>
        </w:tc>
        <w:tc>
          <w:tcPr/>
          <w:p>
            <w:pPr>
              <w:pStyle w:val="Compact"/>
              <w:jc w:val="left"/>
            </w:pPr>
            <w:r>
              <w:t xml:space="preserve">2,850,000</w:t>
            </w:r>
          </w:p>
        </w:tc>
        <w:tc>
          <w:tcPr/>
          <w:p>
            <w:pPr>
              <w:pStyle w:val="Compact"/>
              <w:jc w:val="left"/>
            </w:pPr>
            <w:r>
              <w:t xml:space="preserve">8,550,000</w:t>
            </w:r>
          </w:p>
        </w:tc>
      </w:tr>
      <w:tr>
        <w:tc>
          <w:tcPr/>
          <w:p>
            <w:pPr>
              <w:pStyle w:val="Compact"/>
              <w:jc w:val="left"/>
            </w:pPr>
            <w:r>
              <w:t xml:space="preserve">05</w:t>
            </w:r>
          </w:p>
        </w:tc>
        <w:tc>
          <w:tcPr/>
          <w:p>
            <w:pPr>
              <w:pStyle w:val="Compact"/>
              <w:jc w:val="left"/>
            </w:pPr>
            <w:r>
              <w:t xml:space="preserve">Chef Uniform &amp; Apron Set (premium cotton, embroidered logo) — per Chef position</w:t>
            </w:r>
          </w:p>
        </w:tc>
        <w:tc>
          <w:tcPr/>
          <w:p>
            <w:pPr>
              <w:pStyle w:val="Compact"/>
              <w:jc w:val="left"/>
            </w:pPr>
            <w:r>
              <w:t xml:space="preserve">3</w:t>
            </w:r>
          </w:p>
        </w:tc>
        <w:tc>
          <w:tcPr/>
          <w:p>
            <w:pPr>
              <w:pStyle w:val="Compact"/>
              <w:jc w:val="left"/>
            </w:pPr>
            <w:r>
              <w:t xml:space="preserve">Set</w:t>
            </w:r>
          </w:p>
        </w:tc>
        <w:tc>
          <w:tcPr/>
          <w:p>
            <w:pPr>
              <w:pStyle w:val="Compact"/>
              <w:jc w:val="left"/>
            </w:pPr>
            <w:r>
              <w:t xml:space="preserve">1,200,000</w:t>
            </w:r>
          </w:p>
        </w:tc>
        <w:tc>
          <w:tcPr/>
          <w:p>
            <w:pPr>
              <w:pStyle w:val="Compact"/>
              <w:jc w:val="left"/>
            </w:pPr>
            <w:r>
              <w:t xml:space="preserve">3,600,000</w:t>
            </w:r>
          </w:p>
        </w:tc>
      </w:tr>
      <w:tr>
        <w:tc>
          <w:tcPr/>
          <w:p>
            <w:pPr>
              <w:pStyle w:val="Compact"/>
              <w:jc w:val="left"/>
            </w:pPr>
            <w:r>
              <w:t xml:space="preserve">06</w:t>
            </w:r>
          </w:p>
        </w:tc>
        <w:tc>
          <w:tcPr/>
          <w:p>
            <w:pPr>
              <w:pStyle w:val="Compact"/>
              <w:jc w:val="left"/>
            </w:pPr>
            <w:r>
              <w:t xml:space="preserve">Commercial-Grade Chef Station Equipment (stainless steel prep tables, shelving, and storage units) for Indonesia Jakarta facility</w:t>
            </w:r>
          </w:p>
        </w:tc>
        <w:tc>
          <w:tcPr/>
          <w:p>
            <w:pPr>
              <w:pStyle w:val="Compact"/>
              <w:jc w:val="left"/>
            </w:pPr>
            <w:r>
              <w:t xml:space="preserve">1</w:t>
            </w:r>
          </w:p>
        </w:tc>
        <w:tc>
          <w:tcPr/>
          <w:p>
            <w:pPr>
              <w:pStyle w:val="Compact"/>
              <w:jc w:val="left"/>
            </w:pPr>
            <w:r>
              <w:t xml:space="preserve">Lot</w:t>
            </w:r>
          </w:p>
        </w:tc>
        <w:tc>
          <w:tcPr/>
          <w:p>
            <w:pPr>
              <w:pStyle w:val="Compact"/>
              <w:jc w:val="left"/>
            </w:pPr>
            <w:r>
              <w:t xml:space="preserve">45,000,000</w:t>
            </w:r>
          </w:p>
        </w:tc>
        <w:tc>
          <w:tcPr/>
          <w:p>
            <w:pPr>
              <w:pStyle w:val="Compact"/>
              <w:jc w:val="left"/>
            </w:pPr>
            <w:r>
              <w:t xml:space="preserve">45,000,000</w:t>
            </w:r>
          </w:p>
        </w:tc>
      </w:tr>
      <w:tr>
        <w:tc>
          <w:tcPr/>
          <w:p>
            <w:pPr>
              <w:pStyle w:val="Compact"/>
              <w:jc w:val="left"/>
            </w:pPr>
            <w:r>
              <w:t xml:space="preserve">07</w:t>
            </w:r>
          </w:p>
        </w:tc>
        <w:tc>
          <w:tcPr/>
          <w:p>
            <w:pPr>
              <w:pStyle w:val="Compact"/>
              <w:jc w:val="left"/>
            </w:pPr>
            <w:r>
              <w:t xml:space="preserve">Chef Training &amp; Certification Program (BPOM food safety, Halal compliance, and Jakarta municipal health regulations)</w:t>
            </w:r>
          </w:p>
        </w:tc>
        <w:tc>
          <w:tcPr/>
          <w:p>
            <w:pPr>
              <w:pStyle w:val="Compact"/>
              <w:jc w:val="left"/>
            </w:pPr>
            <w:r>
              <w:t xml:space="preserve">3</w:t>
            </w:r>
          </w:p>
        </w:tc>
        <w:tc>
          <w:tcPr/>
          <w:p>
            <w:pPr>
              <w:pStyle w:val="Compact"/>
              <w:jc w:val="left"/>
            </w:pPr>
            <w:r>
              <w:t xml:space="preserve">Person</w:t>
            </w:r>
          </w:p>
        </w:tc>
        <w:tc>
          <w:tcPr/>
          <w:p>
            <w:pPr>
              <w:pStyle w:val="Compact"/>
              <w:jc w:val="left"/>
            </w:pPr>
            <w:r>
              <w:t xml:space="preserve">3,500,000</w:t>
            </w:r>
          </w:p>
        </w:tc>
        <w:tc>
          <w:tcPr/>
          <w:p>
            <w:pPr>
              <w:pStyle w:val="Compact"/>
              <w:jc w:val="left"/>
            </w:pPr>
            <w:r>
              <w:t xml:space="preserve">10,500,000</w:t>
            </w:r>
          </w:p>
        </w:tc>
      </w:tr>
      <w:tr>
        <w:tc>
          <w:tcPr/>
          <w:p>
            <w:pPr>
              <w:pStyle w:val="Compact"/>
              <w:jc w:val="left"/>
            </w:pPr>
            <w:r>
              <w:t xml:space="preserve">08</w:t>
            </w:r>
          </w:p>
        </w:tc>
        <w:tc>
          <w:tcPr/>
          <w:p>
            <w:pPr>
              <w:pStyle w:val="Compact"/>
              <w:jc w:val="left"/>
            </w:pPr>
            <w:r>
              <w:t xml:space="preserve">Monthly Chef Ingredient Procurement Allowance (specialty Indonesian spices, premium proteins, and imported ingredients sourced within Indonesia Jakarta supply chain)</w:t>
            </w:r>
          </w:p>
        </w:tc>
        <w:tc>
          <w:tcPr/>
          <w:p>
            <w:pPr>
              <w:pStyle w:val="Compact"/>
              <w:jc w:val="left"/>
            </w:pPr>
            <w:r>
              <w:t xml:space="preserve">12</w:t>
            </w:r>
          </w:p>
        </w:tc>
        <w:tc>
          <w:tcPr/>
          <w:p>
            <w:pPr>
              <w:pStyle w:val="Compact"/>
              <w:jc w:val="left"/>
            </w:pPr>
            <w:r>
              <w:t xml:space="preserve">Month</w:t>
            </w:r>
          </w:p>
        </w:tc>
        <w:tc>
          <w:tcPr/>
          <w:p>
            <w:pPr>
              <w:pStyle w:val="Compact"/>
              <w:jc w:val="left"/>
            </w:pPr>
            <w:r>
              <w:t xml:space="preserve">7,500,000</w:t>
            </w:r>
          </w:p>
        </w:tc>
        <w:tc>
          <w:tcPr/>
          <w:p>
            <w:pPr>
              <w:pStyle w:val="Compact"/>
              <w:jc w:val="left"/>
            </w:pPr>
            <w:r>
              <w:t xml:space="preserve">90,000,000</w:t>
            </w:r>
          </w:p>
        </w:tc>
      </w:tr>
      <w:tr>
        <w:tc>
          <w:tcPr>
            <w:gridSpan w:val="5"/>
          </w:tcPr>
          <w:p>
            <w:pPr>
              <w:pStyle w:val="Compact"/>
              <w:jc w:val="right"/>
            </w:pPr>
            <w:r>
              <w:t xml:space="preserve">Subtotal (IDR):</w:t>
            </w:r>
          </w:p>
        </w:tc>
        <w:tc>
          <w:tcPr/>
          <w:p>
            <w:pPr>
              <w:pStyle w:val="Compact"/>
              <w:jc w:val="left"/>
            </w:pPr>
            <w:r>
              <w:t xml:space="preserve">631,650,000</w:t>
            </w:r>
          </w:p>
        </w:tc>
      </w:tr>
      <w:tr>
        <w:tc>
          <w:tcPr>
            <w:gridSpan w:val="5"/>
          </w:tcPr>
          <w:p>
            <w:pPr>
              <w:pStyle w:val="Compact"/>
              <w:jc w:val="right"/>
            </w:pPr>
            <w:r>
              <w:t xml:space="preserve">VAT (PPN) 11% — Indonesia Jakarta:</w:t>
            </w:r>
          </w:p>
        </w:tc>
        <w:tc>
          <w:tcPr/>
          <w:p>
            <w:pPr>
              <w:pStyle w:val="Compact"/>
              <w:jc w:val="left"/>
            </w:pPr>
            <w:r>
              <w:t xml:space="preserve">69,481,500</w:t>
            </w:r>
          </w:p>
        </w:tc>
      </w:tr>
      <w:tr>
        <w:tc>
          <w:tcPr>
            <w:gridSpan w:val="5"/>
          </w:tcPr>
          <w:p>
            <w:pPr>
              <w:pStyle w:val="Compact"/>
              <w:jc w:val="right"/>
            </w:pPr>
            <w:r>
              <w:t xml:space="preserve">Grand Total (IDR):</w:t>
            </w:r>
          </w:p>
        </w:tc>
        <w:tc>
          <w:tcPr/>
          <w:p>
            <w:pPr>
              <w:pStyle w:val="Compact"/>
              <w:jc w:val="left"/>
            </w:pPr>
            <w:r>
              <w:t xml:space="preserve">701,131,500</w:t>
            </w:r>
          </w:p>
        </w:tc>
      </w:tr>
    </w:tbl>
    <w:p>
      <w:pPr>
        <w:pStyle w:val="BodyText"/>
      </w:pPr>
      <w:r>
        <w:t xml:space="preserve">3. Terms and Conditions</w:t>
      </w:r>
    </w:p>
    <w:p>
      <w:pPr>
        <w:numPr>
          <w:ilvl w:val="0"/>
          <w:numId w:val="1001"/>
        </w:numPr>
        <w:pStyle w:val="Compact"/>
      </w:pPr>
      <w:r>
        <w:t xml:space="preserve">This Purchase Order is issued by Nusantara Culinary Group PT for the procurement of professional Chef services and associated culinary equipment to be delivered and performed at the company's primary facility located in Indonesia Jakarta, specifically within the South Jakarta (Jakarta Selatan) business district.</w:t>
      </w:r>
    </w:p>
    <w:p>
      <w:pPr>
        <w:numPr>
          <w:ilvl w:val="0"/>
          <w:numId w:val="1001"/>
        </w:numPr>
        <w:pStyle w:val="Compact"/>
      </w:pPr>
      <w:r>
        <w:t xml:space="preserve">All Chef personnel engaged under this Purchase Order must hold valid work permits (KITAS) if they are foreign nationals, and must comply with all labor regulations set forth by the Ministry of Manpower of the Republic of Indonesia. Domestic Chef candidates must present valid KTP (Kartu Tanda Penduduk) and a clean criminal background check issued by the Indonesia Jakarta Metropolitan Police (Polres Metro Jakarta).</w:t>
      </w:r>
    </w:p>
    <w:p>
      <w:pPr>
        <w:numPr>
          <w:ilvl w:val="0"/>
          <w:numId w:val="1001"/>
        </w:numPr>
        <w:pStyle w:val="Compact"/>
      </w:pPr>
      <w:r>
        <w:t xml:space="preserve">The Executive Chef and all subordinate Chef positions must complete a mandatory onboarding period of fourteen (14) calendar days at the Indonesia Jakarta headquarters kitchen before full operational duties commence. During this period, the Chef will review existing menus, assess kitchen infrastructure, and align with the culinary direction established by the buyer.</w:t>
      </w:r>
    </w:p>
    <w:p>
      <w:pPr>
        <w:numPr>
          <w:ilvl w:val="0"/>
          <w:numId w:val="1001"/>
        </w:numPr>
        <w:pStyle w:val="Compact"/>
      </w:pPr>
      <w:r>
        <w:t xml:space="preserve">Payment terms: 30% advance payment upon signing of this Purchase Order, 40% upon successful completion of the Chef onboarding period, and the remaining 30% to be disbursed in equal monthly installments over the final three months of the contract term. All payments shall be made via bank transfer to the vendor's designated account in Indonesia Jakarta.</w:t>
      </w:r>
    </w:p>
    <w:p>
      <w:pPr>
        <w:numPr>
          <w:ilvl w:val="0"/>
          <w:numId w:val="1001"/>
        </w:numPr>
        <w:pStyle w:val="Compact"/>
      </w:pPr>
      <w:r>
        <w:t xml:space="preserve">All equipment and materials listed in this Purchase Order must be delivered to the Indonesia Jakarta facility no later than 10 July 2025. The Chef personnel must report for duty no later than 15 July 2025. Late delivery or late commencement will incur a penalty of 0.5% of the applicable line-item value per calendar day of delay.</w:t>
      </w:r>
    </w:p>
    <w:p>
      <w:pPr>
        <w:numPr>
          <w:ilvl w:val="0"/>
          <w:numId w:val="1001"/>
        </w:numPr>
        <w:pStyle w:val="Compact"/>
      </w:pPr>
      <w:r>
        <w:t xml:space="preserve">The Chef services are subject to the Halal food certification requirements mandated by the Indonesian government. All Chef personnel must demonstrate proficiency in preparing Halal-compliant dishes and must adhere to the standards set by the Badan Penyelenggara Jaminan Produk Halal (BPJPH) as applicable in Indonesia Jakarta.</w:t>
      </w:r>
    </w:p>
    <w:p>
      <w:pPr>
        <w:numPr>
          <w:ilvl w:val="0"/>
          <w:numId w:val="1001"/>
        </w:numPr>
        <w:pStyle w:val="Compact"/>
      </w:pPr>
      <w:r>
        <w:t xml:space="preserve">This Purchase Order is governed by the laws of the Republic of Indonesia. Any disputes arising from this Purchase Order shall be resolved through arbitration at the Indonesia National Board of Arbitration (BANI) in Indonesia Jakarta, in accordance with the BANI arbitration rules.</w:t>
      </w:r>
    </w:p>
    <w:p>
      <w:pPr>
        <w:numPr>
          <w:ilvl w:val="0"/>
          <w:numId w:val="1001"/>
        </w:numPr>
        <w:pStyle w:val="Compact"/>
      </w:pPr>
      <w:r>
        <w:t xml:space="preserve">The vendor warrants that all Chef personnel are free from any competing contractual obligations and that no intellectual property, proprietary recipes, or trade secrets from any prior employer will be introduced into the Indonesia Jakarta kitchen operations without prior written consent from the buyer.</w:t>
      </w:r>
    </w:p>
    <w:p>
      <w:pPr>
        <w:numPr>
          <w:ilvl w:val="0"/>
          <w:numId w:val="1001"/>
        </w:numPr>
        <w:pStyle w:val="Compact"/>
      </w:pPr>
      <w:r>
        <w:t xml:space="preserve">This Purchase Order may be amended only by mutual written agreement of both parties. Any modification to the scope of Chef services, equipment specifications, or delivery timelines must be documented in a formal Purchase Order amendment letter bearing the same PO number with a sequential suffix (e.g., PO-JKT-CHEF-2025-0047-A).</w:t>
      </w:r>
    </w:p>
    <w:p>
      <w:pPr>
        <w:pStyle w:val="FirstParagraph"/>
      </w:pPr>
      <w:r>
        <w:t xml:space="preserve">4. Delivery and Commencement Details</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Delivery Address:</w:t>
            </w:r>
          </w:p>
        </w:tc>
        <w:tc>
          <w:tcPr/>
          <w:p>
            <w:pPr>
              <w:pStyle w:val="Compact"/>
              <w:jc w:val="left"/>
            </w:pPr>
            <w:r>
              <w:t xml:space="preserve">Nusantara Culinary Group PT, Menara Jakarta, 12th Floor, SCBD District, Jl. Jend. Sudirman Kav. 52-53, Jakarta Selatan, Indonesia Jakarta 12190</w:t>
            </w:r>
          </w:p>
        </w:tc>
      </w:tr>
      <w:tr>
        <w:tc>
          <w:tcPr/>
          <w:p>
            <w:pPr>
              <w:pStyle w:val="Compact"/>
              <w:jc w:val="left"/>
            </w:pPr>
            <w:r>
              <w:rPr>
                <w:bCs/>
                <w:b/>
              </w:rPr>
              <w:t xml:space="preserve">Delivery Contact:</w:t>
            </w:r>
          </w:p>
        </w:tc>
        <w:tc>
          <w:tcPr/>
          <w:p>
            <w:pPr>
              <w:pStyle w:val="Compact"/>
              <w:jc w:val="left"/>
            </w:pPr>
            <w:r>
              <w:t xml:space="preserve">Ibu Sari Kusuma, Operations Manager — +62-812-3456-7890</w:t>
            </w:r>
          </w:p>
        </w:tc>
      </w:tr>
      <w:tr>
        <w:tc>
          <w:tcPr/>
          <w:p>
            <w:pPr>
              <w:pStyle w:val="Compact"/>
              <w:jc w:val="left"/>
            </w:pPr>
            <w:r>
              <w:rPr>
                <w:bCs/>
                <w:b/>
              </w:rPr>
              <w:t xml:space="preserve">Delivery Window:</w:t>
            </w:r>
          </w:p>
        </w:tc>
        <w:tc>
          <w:tcPr/>
          <w:p>
            <w:pPr>
              <w:pStyle w:val="Compact"/>
              <w:jc w:val="left"/>
            </w:pPr>
            <w:r>
              <w:t xml:space="preserve">10 July 2025 – 14 July 2025 (Equipment); 15 July 2025 (Chef Personnel Reporting)</w:t>
            </w:r>
          </w:p>
        </w:tc>
      </w:tr>
      <w:tr>
        <w:tc>
          <w:tcPr/>
          <w:p>
            <w:pPr>
              <w:pStyle w:val="Compact"/>
              <w:jc w:val="left"/>
            </w:pPr>
            <w:r>
              <w:rPr>
                <w:bCs/>
                <w:b/>
              </w:rPr>
              <w:t xml:space="preserve">Contract Duration:</w:t>
            </w:r>
          </w:p>
        </w:tc>
        <w:tc>
          <w:tcPr/>
          <w:p>
            <w:pPr>
              <w:pStyle w:val="Compact"/>
              <w:jc w:val="left"/>
            </w:pPr>
            <w:r>
              <w:t xml:space="preserve">12 months from 15 July 2025 to 14 July 2026, renewable by mutual agreement</w:t>
            </w:r>
          </w:p>
        </w:tc>
      </w:tr>
    </w:tbl>
    <w:p>
      <w:pPr>
        <w:pStyle w:val="BodyText"/>
      </w:pPr>
      <w:r>
        <w:t xml:space="preserve">5. Authorization and Signatures</w:t>
      </w:r>
    </w:p>
    <w:p>
      <w:pPr>
        <w:pStyle w:val="BodyText"/>
      </w:pPr>
      <w:r>
        <w:rPr>
          <w:bCs/>
          <w:b/>
        </w:rPr>
        <w:t xml:space="preserve">For and on behalf of the Buyer:</w:t>
      </w:r>
    </w:p>
    <w:p>
      <w:pPr>
        <w:pStyle w:val="BodyText"/>
      </w:pPr>
      <w:r>
        <w:t xml:space="preserve">Nusantara Culinary Group PT</w:t>
      </w:r>
    </w:p>
    <w:p>
      <w:pPr>
        <w:pStyle w:val="BodyText"/>
      </w:pPr>
      <w:r>
        <w:rPr>
          <w:bCs/>
          <w:b/>
        </w:rPr>
        <w:t xml:space="preserve">Dr. Ahmad Fauzi</w:t>
      </w:r>
      <w:r>
        <w:br/>
      </w:r>
      <w:r>
        <w:t xml:space="preserve">Chief Executive Officer</w:t>
      </w:r>
      <w:r>
        <w:br/>
      </w:r>
      <w:r>
        <w:t xml:space="preserve">Date: _______________</w:t>
      </w:r>
    </w:p>
    <w:p>
      <w:pPr>
        <w:pStyle w:val="BodyText"/>
      </w:pPr>
      <w:r>
        <w:rPr>
          <w:bCs/>
          <w:b/>
        </w:rPr>
        <w:t xml:space="preserve">For and on behalf of the Vendor:</w:t>
      </w:r>
    </w:p>
    <w:p>
      <w:pPr>
        <w:pStyle w:val="BodyText"/>
      </w:pPr>
      <w:r>
        <w:t xml:space="preserve">PT Cita Rasa Profesional Indonesia</w:t>
      </w:r>
    </w:p>
    <w:p>
      <w:pPr>
        <w:pStyle w:val="BodyText"/>
      </w:pPr>
      <w:r>
        <w:rPr>
          <w:bCs/>
          <w:b/>
        </w:rPr>
        <w:t xml:space="preserve">Bpk. Hendra Wijaya</w:t>
      </w:r>
      <w:r>
        <w:br/>
      </w:r>
      <w:r>
        <w:t xml:space="preserve">Director of Culinary Staffing</w:t>
      </w:r>
      <w:r>
        <w:br/>
      </w:r>
      <w:r>
        <w:t xml:space="preserve">Date: _______________</w:t>
      </w:r>
    </w:p>
    <w:p>
      <w:pPr>
        <w:pStyle w:val="BodyText"/>
      </w:pPr>
      <w:r>
        <w:rPr>
          <w:bCs/>
          <w:b/>
        </w:rPr>
        <w:t xml:space="preserve">Important Notice:</w:t>
      </w:r>
      <w:r>
        <w:t xml:space="preserve"> </w:t>
      </w:r>
      <w:r>
        <w:t xml:space="preserve">This Purchase Order document is specific to the procurement of Chef services and culinary equipment for operations within Indonesia Jakarta. All regulatory references, tax calculations (including the 11% PPN/VAT applicable in Indonesia Jakarta), labor compliance requirements, and Halal certification obligations are in accordance with the current laws and regulations of the Republic of Indonesia as they pertain to the Special Capital Region of Jakarta. This Purchase Order does not constitute an employment contract; the Chef personnel are engaged as independent service providers through the vendor. The buyer reserves the right to reject any Chef candidate who fails to meet the competency, health, and compliance standards outlined herein.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Chef Services - Indonesia Jakarta</dc:title>
  <dc:creator/>
  <dc:language>en</dc:language>
  <cp:keywords/>
  <dcterms:created xsi:type="dcterms:W3CDTF">2026-10-10T03:38:55Z</dcterms:created>
  <dcterms:modified xsi:type="dcterms:W3CDTF">2026-10-10T03:38:55Z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