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and</w:t>
      </w:r>
      <w:r>
        <w:t xml:space="preserve"> </w:t>
      </w:r>
      <w:r>
        <w:t xml:space="preserve">Equipment</w:t>
      </w:r>
      <w:r>
        <w:t xml:space="preserve"> </w:t>
      </w:r>
      <w:r>
        <w:t xml:space="preserve">-</w:t>
      </w:r>
      <w:r>
        <w:t xml:space="preserve"> </w:t>
      </w:r>
      <w:r>
        <w:t xml:space="preserve">Moscow,</w:t>
      </w:r>
      <w:r>
        <w:t xml:space="preserve"> </w:t>
      </w:r>
      <w:r>
        <w:t xml:space="preserve">Russia</w:t>
      </w:r>
    </w:p>
    <w:bookmarkStart w:id="20" w:name="purchase-order"/>
    <w:p>
      <w:pPr>
        <w:pStyle w:val="Heading1"/>
      </w:pPr>
      <w:r>
        <w:t xml:space="preserve">PURCHASE ORDER</w:t>
      </w:r>
    </w:p>
    <w:p>
      <w:pPr>
        <w:pStyle w:val="FirstParagraph"/>
      </w:pPr>
      <w:r>
        <w:t xml:space="preserve">Chef Services, Professional Kitchen Equipment &amp; Culinary Supplies — Moscow, Russia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PO-MOW-2025-04782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Buyer (Purchasing Entity)</w:t>
            </w:r>
          </w:p>
        </w:tc>
        <w:tc>
          <w:tcPr/>
          <w:p>
            <w:pPr>
              <w:pStyle w:val="Compact"/>
              <w:jc w:val="left"/>
            </w:pPr>
            <w:r>
              <w:t xml:space="preserve">Grand Moscow Culinary Group LLC, 12 Tverskaya Street, Moscow, 125009, Russian Federation</w:t>
            </w:r>
          </w:p>
        </w:tc>
      </w:tr>
      <w:tr>
        <w:tc>
          <w:tcPr/>
          <w:p>
            <w:pPr>
              <w:pStyle w:val="Compact"/>
              <w:jc w:val="left"/>
            </w:pPr>
            <w:r>
              <w:t xml:space="preserve">Supplier / Vendor</w:t>
            </w:r>
          </w:p>
        </w:tc>
        <w:tc>
          <w:tcPr/>
          <w:p>
            <w:pPr>
              <w:pStyle w:val="Compact"/>
              <w:jc w:val="left"/>
            </w:pPr>
            <w:r>
              <w:t xml:space="preserve">ChefPro International Services &amp; Equipment Co., 45 Arbat Boulevard, Moscow, 119019, Russian Federation</w:t>
            </w:r>
          </w:p>
        </w:tc>
      </w:tr>
      <w:tr>
        <w:tc>
          <w:tcPr/>
          <w:p>
            <w:pPr>
              <w:pStyle w:val="Compact"/>
              <w:jc w:val="left"/>
            </w:pPr>
            <w:r>
              <w:t xml:space="preserve">Project Reference</w:t>
            </w:r>
          </w:p>
        </w:tc>
        <w:tc>
          <w:tcPr/>
          <w:p>
            <w:pPr>
              <w:pStyle w:val="Compact"/>
              <w:jc w:val="left"/>
            </w:pPr>
            <w:r>
              <w:t xml:space="preserve">Opening of "Le Chef de Moscou" Fine Dining Restaurant — Central District, Moscow</w:t>
            </w:r>
          </w:p>
        </w:tc>
      </w:tr>
      <w:tr>
        <w:tc>
          <w:tcPr/>
          <w:p>
            <w:pPr>
              <w:pStyle w:val="Compact"/>
              <w:jc w:val="left"/>
            </w:pPr>
            <w:r>
              <w:t xml:space="preserve">Delivery Location</w:t>
            </w:r>
          </w:p>
        </w:tc>
        <w:tc>
          <w:tcPr/>
          <w:p>
            <w:pPr>
              <w:pStyle w:val="Compact"/>
              <w:jc w:val="left"/>
            </w:pPr>
            <w:r>
              <w:t xml:space="preserve">Restaurant premises, 8 Nikolskaya Street, Moscow, 109012, Russian Federation</w:t>
            </w:r>
          </w:p>
        </w:tc>
      </w:tr>
      <w:tr>
        <w:tc>
          <w:tcPr/>
          <w:p>
            <w:pPr>
              <w:pStyle w:val="Compact"/>
              <w:jc w:val="left"/>
            </w:pPr>
            <w:r>
              <w:t xml:space="preserve">Required Delivery Date</w:t>
            </w:r>
          </w:p>
        </w:tc>
        <w:tc>
          <w:tcPr/>
          <w:p>
            <w:pPr>
              <w:pStyle w:val="Compact"/>
              <w:jc w:val="left"/>
            </w:pPr>
            <w:r>
              <w:t xml:space="preserve">30 July 2025</w:t>
            </w:r>
          </w:p>
        </w:tc>
      </w:tr>
      <w:tr>
        <w:tc>
          <w:tcPr/>
          <w:p>
            <w:pPr>
              <w:pStyle w:val="Compact"/>
              <w:jc w:val="left"/>
            </w:pPr>
            <w:r>
              <w:t xml:space="preserve">Currency</w:t>
            </w:r>
          </w:p>
        </w:tc>
        <w:tc>
          <w:tcPr/>
          <w:p>
            <w:pPr>
              <w:pStyle w:val="Compact"/>
              <w:jc w:val="left"/>
            </w:pPr>
            <w:r>
              <w:t xml:space="preserve">Russian Ruble (RUB)</w:t>
            </w:r>
          </w:p>
        </w:tc>
      </w:tr>
      <w:tr>
        <w:tc>
          <w:tcPr/>
          <w:p>
            <w:pPr>
              <w:pStyle w:val="Compact"/>
              <w:jc w:val="left"/>
            </w:pPr>
            <w:r>
              <w:t xml:space="preserve">Validity of This Purchase Order</w:t>
            </w:r>
          </w:p>
        </w:tc>
        <w:tc>
          <w:tcPr/>
          <w:p>
            <w:pPr>
              <w:pStyle w:val="Compact"/>
              <w:jc w:val="left"/>
            </w:pPr>
            <w:r>
              <w:t xml:space="preserve">30 days from date of issue</w:t>
            </w:r>
          </w:p>
        </w:tc>
      </w:tr>
    </w:tbl>
    <w:bookmarkStart w:id="21" w:name="description-of-purchase"/>
    <w:p>
      <w:pPr>
        <w:pStyle w:val="Heading2"/>
      </w:pPr>
      <w:r>
        <w:t xml:space="preserve">1. Description of Purchase</w:t>
      </w:r>
    </w:p>
    <w:p>
      <w:pPr>
        <w:pStyle w:val="FirstParagraph"/>
      </w:pPr>
      <w:r>
        <w:t xml:space="preserve">This Purchase Order is issued by Grand Moscow Culinary Group LLC (hereinafter referred to as the "Buyer") to ChefPro International Services &amp; Equipment Co. (hereinafter referred to as the "Supplier") for the comprehensive procurement of</w:t>
      </w:r>
      <w:r>
        <w:t xml:space="preserve"> </w:t>
      </w:r>
      <w:r>
        <w:t xml:space="preserve">Chef</w:t>
      </w:r>
      <w:r>
        <w:t xml:space="preserve"> </w:t>
      </w:r>
      <w:r>
        <w:t xml:space="preserve">services, professional-grade kitchen equipment, culinary tools, and perishable and non-perishable food supplies required for the launch and ongoing operation of the "Le Chef de Moscou" fine dining establishment located in the Central Administrative District of</w:t>
      </w:r>
      <w:r>
        <w:t xml:space="preserve"> </w:t>
      </w:r>
      <w:r>
        <w:t xml:space="preserve">Moscow, Russia</w:t>
      </w:r>
      <w:r>
        <w:t xml:space="preserve">. This Purchase Order governs all terms, conditions, pricing, delivery schedules, and quality specifications associated with the engagement of a lead</w:t>
      </w:r>
      <w:r>
        <w:t xml:space="preserve"> </w:t>
      </w:r>
      <w:r>
        <w:t xml:space="preserve">Chef</w:t>
      </w:r>
      <w:r>
        <w:t xml:space="preserve"> </w:t>
      </w:r>
      <w:r>
        <w:t xml:space="preserve">and the full complement of kitchen infrastructure necessary to deliver an exceptional culinary experience to guests in the capital city of the Russian Federation.</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Engagement of Executive Chef (12-month contract) — including menu development, kitchen management, staff training, and daily culinary oversight for the Moscow restaurant. The Chef shall hold a minimum of 10 years of experience in fine dining and must be fluent in Russian and English.</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Engagement of Sous Chef and 4 Junior Chefs (12-month contract) — supporting the lead Chef in all kitchen operations, plating, and service preparation in Moscow.</w:t>
            </w:r>
          </w:p>
        </w:tc>
        <w:tc>
          <w:tcPr/>
          <w:p>
            <w:pPr>
              <w:pStyle w:val="Compact"/>
              <w:jc w:val="left"/>
            </w:pPr>
            <w:r>
              <w:t xml:space="preserve">5</w:t>
            </w:r>
          </w:p>
        </w:tc>
        <w:tc>
          <w:tcPr/>
          <w:p>
            <w:pPr>
              <w:pStyle w:val="Compact"/>
              <w:jc w:val="left"/>
            </w:pPr>
            <w:r>
              <w:t xml:space="preserve">450,000</w:t>
            </w:r>
          </w:p>
        </w:tc>
        <w:tc>
          <w:tcPr/>
          <w:p>
            <w:pPr>
              <w:pStyle w:val="Compact"/>
              <w:jc w:val="left"/>
            </w:pPr>
            <w:r>
              <w:t xml:space="preserve">2,250,000</w:t>
            </w:r>
          </w:p>
        </w:tc>
      </w:tr>
      <w:tr>
        <w:tc>
          <w:tcPr/>
          <w:p>
            <w:pPr>
              <w:pStyle w:val="Compact"/>
              <w:jc w:val="left"/>
            </w:pPr>
            <w:r>
              <w:t xml:space="preserve">03</w:t>
            </w:r>
          </w:p>
        </w:tc>
        <w:tc>
          <w:tcPr/>
          <w:p>
            <w:pPr>
              <w:pStyle w:val="Compact"/>
              <w:jc w:val="left"/>
            </w:pPr>
            <w:r>
              <w:t xml:space="preserve">Professional Chef's Knife Set (Japanese and European) — 24-piece set per station, including santoku, chef's knife, paring knife, boning knife, and bread knife. Food-grade stainless steel, certified for use in Russian Federation food establishments.</w:t>
            </w:r>
          </w:p>
        </w:tc>
        <w:tc>
          <w:tcPr/>
          <w:p>
            <w:pPr>
              <w:pStyle w:val="Compact"/>
              <w:jc w:val="left"/>
            </w:pPr>
            <w:r>
              <w:t xml:space="preserve">6</w:t>
            </w:r>
          </w:p>
        </w:tc>
        <w:tc>
          <w:tcPr/>
          <w:p>
            <w:pPr>
              <w:pStyle w:val="Compact"/>
              <w:jc w:val="left"/>
            </w:pPr>
            <w:r>
              <w:t xml:space="preserve">38,500</w:t>
            </w:r>
          </w:p>
        </w:tc>
        <w:tc>
          <w:tcPr/>
          <w:p>
            <w:pPr>
              <w:pStyle w:val="Compact"/>
              <w:jc w:val="left"/>
            </w:pPr>
            <w:r>
              <w:t xml:space="preserve">231,000</w:t>
            </w:r>
          </w:p>
        </w:tc>
      </w:tr>
      <w:tr>
        <w:tc>
          <w:tcPr/>
          <w:p>
            <w:pPr>
              <w:pStyle w:val="Compact"/>
              <w:jc w:val="left"/>
            </w:pPr>
            <w:r>
              <w:t xml:space="preserve">04</w:t>
            </w:r>
          </w:p>
        </w:tc>
        <w:tc>
          <w:tcPr/>
          <w:p>
            <w:pPr>
              <w:pStyle w:val="Compact"/>
              <w:jc w:val="left"/>
            </w:pPr>
            <w:r>
              <w:t xml:space="preserve">Commercial-Grade Chef's Range and Oven System — 6-burner gas range with convection oven, built for high-volume fine dining service in a Moscow restaurant kitchen. Includes installation and calibration.</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05</w:t>
            </w:r>
          </w:p>
        </w:tc>
        <w:tc>
          <w:tcPr/>
          <w:p>
            <w:pPr>
              <w:pStyle w:val="Compact"/>
              <w:jc w:val="left"/>
            </w:pPr>
            <w:r>
              <w:t xml:space="preserve">Stainless Steel Chef's Workstations and Prep Tables — 304-grade stainless steel, 1800mm x 800mm, with integrated drainage. Compliant with SanPiN 2.3.6.1079-01 sanitary standards for Moscow food service establishments.</w:t>
            </w:r>
          </w:p>
        </w:tc>
        <w:tc>
          <w:tcPr/>
          <w:p>
            <w:pPr>
              <w:pStyle w:val="Compact"/>
              <w:jc w:val="left"/>
            </w:pPr>
            <w:r>
              <w:t xml:space="preserve">8</w:t>
            </w:r>
          </w:p>
        </w:tc>
        <w:tc>
          <w:tcPr/>
          <w:p>
            <w:pPr>
              <w:pStyle w:val="Compact"/>
              <w:jc w:val="left"/>
            </w:pPr>
            <w:r>
              <w:t xml:space="preserve">62,000</w:t>
            </w:r>
          </w:p>
        </w:tc>
        <w:tc>
          <w:tcPr/>
          <w:p>
            <w:pPr>
              <w:pStyle w:val="Compact"/>
              <w:jc w:val="left"/>
            </w:pPr>
            <w:r>
              <w:t xml:space="preserve">496,000</w:t>
            </w:r>
          </w:p>
        </w:tc>
      </w:tr>
      <w:tr>
        <w:tc>
          <w:tcPr/>
          <w:p>
            <w:pPr>
              <w:pStyle w:val="Compact"/>
              <w:jc w:val="left"/>
            </w:pPr>
            <w:r>
              <w:t xml:space="preserve">06</w:t>
            </w:r>
          </w:p>
        </w:tc>
        <w:tc>
          <w:tcPr/>
          <w:p>
            <w:pPr>
              <w:pStyle w:val="Compact"/>
              <w:jc w:val="left"/>
            </w:pPr>
            <w:r>
              <w:t xml:space="preserve">Initial Stock of Premium Culinary Ingredients — including imported cheeses, truffles, saffron, premium olive oil, and seasonal produce sourced from verified suppliers within the Russian Federation and approved international partners. Delivered to the Moscow kitchen within 48 hours of order confirmation.</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Chef's Uniforms and PPE — 10 complete sets including double-breasted chef jackets, aprons, non-slip shoes, and hairnets. Branded with "Le Chef de Moscou" insignia. Sized for the Moscow kitchen staff.</w:t>
            </w:r>
          </w:p>
        </w:tc>
        <w:tc>
          <w:tcPr/>
          <w:p>
            <w:pPr>
              <w:pStyle w:val="Compact"/>
              <w:jc w:val="left"/>
            </w:pPr>
            <w:r>
              <w:t xml:space="preserve">10</w:t>
            </w:r>
          </w:p>
        </w:tc>
        <w:tc>
          <w:tcPr/>
          <w:p>
            <w:pPr>
              <w:pStyle w:val="Compact"/>
              <w:jc w:val="left"/>
            </w:pPr>
            <w:r>
              <w:t xml:space="preserve">12,800</w:t>
            </w:r>
          </w:p>
        </w:tc>
        <w:tc>
          <w:tcPr/>
          <w:p>
            <w:pPr>
              <w:pStyle w:val="Compact"/>
              <w:jc w:val="left"/>
            </w:pPr>
            <w:r>
              <w:t xml:space="preserve">128,000</w:t>
            </w:r>
          </w:p>
        </w:tc>
      </w:tr>
      <w:tr>
        <w:tc>
          <w:tcPr/>
          <w:p>
            <w:pPr>
              <w:pStyle w:val="Compact"/>
              <w:jc w:val="left"/>
            </w:pPr>
            <w:r>
              <w:t xml:space="preserve">08</w:t>
            </w:r>
          </w:p>
        </w:tc>
        <w:tc>
          <w:tcPr/>
          <w:p>
            <w:pPr>
              <w:pStyle w:val="Compact"/>
              <w:jc w:val="left"/>
            </w:pPr>
            <w:r>
              <w:t xml:space="preserve">Professional Chef's Tasting and Plating Kit — including micro-spatulas, tweezers, piping bags, molds, and garnish tools for the Chef's creative presentation work.</w:t>
            </w:r>
          </w:p>
        </w:tc>
        <w:tc>
          <w:tcPr/>
          <w:p>
            <w:pPr>
              <w:pStyle w:val="Compact"/>
              <w:jc w:val="left"/>
            </w:pPr>
            <w:r>
              <w:t xml:space="preserve">3</w:t>
            </w:r>
          </w:p>
        </w:tc>
        <w:tc>
          <w:tcPr/>
          <w:p>
            <w:pPr>
              <w:pStyle w:val="Compact"/>
              <w:jc w:val="left"/>
            </w:pPr>
            <w:r>
              <w:t xml:space="preserve">28,400</w:t>
            </w:r>
          </w:p>
        </w:tc>
        <w:tc>
          <w:tcPr/>
          <w:p>
            <w:pPr>
              <w:pStyle w:val="Compact"/>
              <w:jc w:val="left"/>
            </w:pPr>
            <w:r>
              <w:t xml:space="preserve">85,200</w:t>
            </w:r>
          </w:p>
        </w:tc>
      </w:tr>
      <w:tr>
        <w:tc>
          <w:tcPr/>
          <w:p>
            <w:pPr>
              <w:pStyle w:val="Compact"/>
              <w:jc w:val="left"/>
            </w:pPr>
            <w:r>
              <w:t xml:space="preserve">09</w:t>
            </w:r>
          </w:p>
        </w:tc>
        <w:tc>
          <w:tcPr/>
          <w:p>
            <w:pPr>
              <w:pStyle w:val="Compact"/>
              <w:jc w:val="left"/>
            </w:pPr>
            <w:r>
              <w:t xml:space="preserve">Refrigeration and Cold Storage Units — walk-in cooler (4m x 3m) and 6 chest freezers, installed and serviced in the Moscow restaurant basement kitchen. Energy rating A+ or higher per Russian Federation standards.</w:t>
            </w:r>
          </w:p>
        </w:tc>
        <w:tc>
          <w:tcPr/>
          <w:p>
            <w:pPr>
              <w:pStyle w:val="Compact"/>
              <w:jc w:val="left"/>
            </w:pPr>
            <w:r>
              <w:t xml:space="preserve">1</w:t>
            </w:r>
          </w:p>
        </w:tc>
        <w:tc>
          <w:tcPr/>
          <w:p>
            <w:pPr>
              <w:pStyle w:val="Compact"/>
              <w:jc w:val="left"/>
            </w:pPr>
            <w:r>
              <w:t xml:space="preserve">1,150,000</w:t>
            </w:r>
          </w:p>
        </w:tc>
        <w:tc>
          <w:tcPr/>
          <w:p>
            <w:pPr>
              <w:pStyle w:val="Compact"/>
              <w:jc w:val="left"/>
            </w:pPr>
            <w:r>
              <w:t xml:space="preserve">1,150,000</w:t>
            </w:r>
          </w:p>
        </w:tc>
      </w:tr>
      <w:tr>
        <w:tc>
          <w:tcPr/>
          <w:p>
            <w:pPr>
              <w:pStyle w:val="Compact"/>
              <w:jc w:val="left"/>
            </w:pPr>
            <w:r>
              <w:t xml:space="preserve">10</w:t>
            </w:r>
          </w:p>
        </w:tc>
        <w:tc>
          <w:tcPr/>
          <w:p>
            <w:pPr>
              <w:pStyle w:val="Compact"/>
              <w:jc w:val="left"/>
            </w:pPr>
            <w:r>
              <w:t xml:space="preserve">On-Site Chef Training and Menu Calibration Workshop — 3-day intensive program conducted by the Executive Chef at the Moscow premises, covering plating standards, food safety protocols per Rospotrebnadzor regulations, and seasonal menu adaptation for the Russian climate.</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gridSpan w:val="4"/>
          </w:tcPr>
          <w:p>
            <w:pPr>
              <w:pStyle w:val="Compact"/>
              <w:jc w:val="left"/>
            </w:pPr>
            <w:r>
              <w:t xml:space="preserve">TOTAL AMOUNT DUE (RUB)</w:t>
            </w:r>
          </w:p>
        </w:tc>
        <w:tc>
          <w:tcPr/>
          <w:p>
            <w:pPr>
              <w:pStyle w:val="Compact"/>
              <w:jc w:val="left"/>
            </w:pPr>
            <w:r>
              <w:t xml:space="preserve">8,025,200</w:t>
            </w:r>
          </w:p>
        </w:tc>
      </w:tr>
    </w:tbl>
    <w:bookmarkEnd w:id="22"/>
    <w:bookmarkStart w:id="23" w:name="terms-and-conditions"/>
    <w:p>
      <w:pPr>
        <w:pStyle w:val="Heading2"/>
      </w:pPr>
      <w:r>
        <w:t xml:space="preserve">3. Terms and Conditions</w:t>
      </w:r>
    </w:p>
    <w:p>
      <w:pPr>
        <w:pStyle w:val="FirstParagraph"/>
      </w:pPr>
      <w:r>
        <w:rPr>
          <w:bCs/>
          <w:b/>
        </w:rPr>
        <w:t xml:space="preserve">3.1 Payment Terms:</w:t>
      </w:r>
      <w:r>
        <w:t xml:space="preserve"> </w:t>
      </w:r>
      <w:r>
        <w:t xml:space="preserve">Payment shall be made in Russian Rubles (RUB) via bank transfer to the Supplier's designated account in Moscow. A 40% advance payment is due upon acceptance of this Purchase Order. The remaining 60% shall be paid in two equal installments: 30% upon delivery and installation of all equipment, and 30% upon successful completion of the Chef training workshop and final acceptance of all goods and services.</w:t>
      </w:r>
    </w:p>
    <w:p>
      <w:pPr>
        <w:pStyle w:val="BodyText"/>
      </w:pPr>
      <w:r>
        <w:rPr>
          <w:bCs/>
          <w:b/>
        </w:rPr>
        <w:t xml:space="preserve">3.2 Delivery and Installation:</w:t>
      </w:r>
      <w:r>
        <w:t xml:space="preserve"> </w:t>
      </w:r>
      <w:r>
        <w:t xml:space="preserve">All equipment and supplies shall be delivered to the restaurant premises at 8 Nikolskaya Street, Moscow, 109012, no later than 30 July 2025. The Supplier is responsible for all logistics, customs clearance (where applicable for imported items), and on-site installation within Moscow city limits. The Chef and kitchen staff engagement shall commence on 1 August 2025.</w:t>
      </w:r>
    </w:p>
    <w:p>
      <w:pPr>
        <w:pStyle w:val="BodyText"/>
      </w:pPr>
      <w:r>
        <w:rPr>
          <w:bCs/>
          <w:b/>
        </w:rPr>
        <w:t xml:space="preserve">3.3 Quality and Compliance:</w:t>
      </w:r>
      <w:r>
        <w:t xml:space="preserve"> </w:t>
      </w:r>
      <w:r>
        <w:t xml:space="preserve">All food-grade items, equipment, and ingredients must comply with the current sanitary and epidemiological regulations of the Russian Federation, including but not limited to SanPiN 2.3.6.1079-01 and Rospotrebnadzor guidelines applicable to Moscow food service establishments. The Chef and all kitchen personnel must hold valid medical clearance certificates (медицинская книжка) as required by Russian labor and food safety law.</w:t>
      </w:r>
    </w:p>
    <w:p>
      <w:pPr>
        <w:pStyle w:val="BodyText"/>
      </w:pPr>
      <w:r>
        <w:rPr>
          <w:bCs/>
          <w:b/>
        </w:rPr>
        <w:t xml:space="preserve">3.4 Warranties:</w:t>
      </w:r>
      <w:r>
        <w:t xml:space="preserve"> </w:t>
      </w:r>
      <w:r>
        <w:t xml:space="preserve">All kitchen equipment carries a minimum 24-month manufacturer warranty valid in the Russian Federation. Chef services are subject to the contractual terms outlined in the separate Service Agreement referenced herein. The Supplier warrants that all ingredients delivered are fresh, unadulterated, and fit for consumption in a fine dining context in Moscow.</w:t>
      </w:r>
    </w:p>
    <w:p>
      <w:pPr>
        <w:pStyle w:val="BodyText"/>
      </w:pPr>
      <w:r>
        <w:rPr>
          <w:bCs/>
          <w:b/>
        </w:rPr>
        <w:t xml:space="preserve">3.5 Cancellation and Penalties:</w:t>
      </w:r>
      <w:r>
        <w:t xml:space="preserve"> </w:t>
      </w:r>
      <w:r>
        <w:t xml:space="preserve">Cancellation of this Purchase Order by the Buyer after the advance payment has been made shall result in a 15% penalty on the total order value. Late delivery by the Supplier beyond 30 July 2025 shall incur a penalty of 0.5% of the total order value per calendar day of delay, up to a maximum of 10%.</w:t>
      </w:r>
    </w:p>
    <w:p>
      <w:pPr>
        <w:pStyle w:val="BodyText"/>
      </w:pPr>
      <w:r>
        <w:rPr>
          <w:bCs/>
          <w:b/>
        </w:rPr>
        <w:t xml:space="preserve">3.6 Governing Law:</w:t>
      </w:r>
      <w:r>
        <w:t xml:space="preserve"> </w:t>
      </w:r>
      <w:r>
        <w:t xml:space="preserve">This Purchase Order shall be governed by and construed in accordance with the civil and commercial laws of the Russian Federation. Any disputes arising from this Purchase Order shall be resolved through the Arbitration Court of the City of Moscow, Russian Federation.</w:t>
      </w:r>
    </w:p>
    <w:p>
      <w:pPr>
        <w:pStyle w:val="BodyText"/>
      </w:pPr>
      <w:r>
        <w:rPr>
          <w:bCs/>
          <w:b/>
        </w:rPr>
        <w:t xml:space="preserve">3.7 Confidentiality:</w:t>
      </w:r>
      <w:r>
        <w:t xml:space="preserve"> </w:t>
      </w:r>
      <w:r>
        <w:t xml:space="preserve">All menu concepts, Chef techniques, supplier pricing, and operational details contained in or related to this Purchase Order are confidential and shall not be disclosed to third parties without written consent from both parties. This clause is particularly relevant given the competitive fine dining landscape in Moscow.</w:t>
      </w:r>
    </w:p>
    <w:bookmarkEnd w:id="23"/>
    <w:bookmarkStart w:id="24" w:name="acceptance-and-authorization"/>
    <w:p>
      <w:pPr>
        <w:pStyle w:val="Heading2"/>
      </w:pPr>
      <w:r>
        <w:t xml:space="preserve">4. Acceptance and Authorization</w:t>
      </w:r>
    </w:p>
    <w:p>
      <w:pPr>
        <w:pStyle w:val="FirstParagraph"/>
      </w:pPr>
      <w:r>
        <w:t xml:space="preserve">Authorized Signatory — Grand Moscow Culinary Group LLC (Buyer)</w:t>
      </w:r>
    </w:p>
    <w:p>
      <w:pPr>
        <w:pStyle w:val="BodyText"/>
      </w:pPr>
      <w:r>
        <w:t xml:space="preserve">Name: _________________________</w:t>
      </w:r>
    </w:p>
    <w:p>
      <w:pPr>
        <w:pStyle w:val="BodyText"/>
      </w:pPr>
      <w:r>
        <w:t xml:space="preserve">Title: General Director</w:t>
      </w:r>
    </w:p>
    <w:p>
      <w:pPr>
        <w:pStyle w:val="BodyText"/>
      </w:pPr>
      <w:r>
        <w:t xml:space="preserve">Date: _________________________</w:t>
      </w:r>
    </w:p>
    <w:p>
      <w:pPr>
        <w:pStyle w:val="BodyText"/>
      </w:pPr>
      <w:r>
        <w:t xml:space="preserve">Company Seal (M.P.):</w:t>
      </w:r>
    </w:p>
    <w:p>
      <w:pPr>
        <w:pStyle w:val="BodyText"/>
      </w:pPr>
      <w:r>
        <w:t xml:space="preserve">Authorized Signatory — ChefPro International Services &amp; Equipment Co. (Supplier)</w:t>
      </w:r>
    </w:p>
    <w:p>
      <w:pPr>
        <w:pStyle w:val="BodyText"/>
      </w:pPr>
      <w:r>
        <w:t xml:space="preserve">Name: _________________________</w:t>
      </w:r>
    </w:p>
    <w:p>
      <w:pPr>
        <w:pStyle w:val="BodyText"/>
      </w:pPr>
      <w:r>
        <w:t xml:space="preserve">Title: Chief Executive Officer</w:t>
      </w:r>
    </w:p>
    <w:p>
      <w:pPr>
        <w:pStyle w:val="BodyText"/>
      </w:pPr>
      <w:r>
        <w:t xml:space="preserve">Date: _________________________</w:t>
      </w:r>
    </w:p>
    <w:p>
      <w:pPr>
        <w:pStyle w:val="BodyText"/>
      </w:pPr>
      <w:r>
        <w:t xml:space="preserve">Company Seal (M.P.):</w:t>
      </w:r>
    </w:p>
    <w:p>
      <w:pPr>
        <w:pStyle w:val="BodyText"/>
      </w:pPr>
      <w:r>
        <w:t xml:space="preserve">This Purchase Order (PO-MOW-2025-04782) was prepared for use in Moscow, Russian Federation. It constitutes a binding commercial document upon signature by both parties. All references to "Chef" denote the professional culinary role and associated services. All delivery, regulatory, and legal matters are governed by the jurisdiction of Moscow, Russia.</w:t>
      </w:r>
    </w:p>
    <w:p>
      <w:pPr>
        <w:pStyle w:val="BodyText"/>
      </w:pPr>
      <w:r>
        <w:t xml:space="preserve">Document generated: 14 June 2025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and Equipment - Moscow, Russia</dc:title>
  <dc:creator/>
  <dc:language>en</dc:language>
  <cp:keywords/>
  <dcterms:created xsi:type="dcterms:W3CDTF">2026-10-10T07:32:06Z</dcterms:created>
  <dcterms:modified xsi:type="dcterms:W3CDTF">2026-10-10T07:32:06Z</dcterms:modified>
</cp:coreProperties>
</file>

<file path=docProps/custom.xml><?xml version="1.0" encoding="utf-8"?>
<Properties xmlns="http://schemas.openxmlformats.org/officeDocument/2006/custom-properties" xmlns:vt="http://schemas.openxmlformats.org/officeDocument/2006/docPropsVTypes"/>
</file>