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rPr>
          <w:bCs/>
          <w:b/>
        </w:rPr>
        <w:t xml:space="preserve">Al-Riyadh Industrial Solutions Co. Ltd.</w:t>
      </w:r>
    </w:p>
    <w:p>
      <w:pPr>
        <w:pStyle w:val="BodyText"/>
      </w:pPr>
      <w:r>
        <w:t xml:space="preserve">Kingdom of Saudi Arabia — Riyadh, Al Olaya District, King Fahd Road, Building 42, Floor 7</w:t>
      </w:r>
    </w:p>
    <w:p>
      <w:pPr>
        <w:pStyle w:val="BodyText"/>
      </w:pPr>
      <w:r>
        <w:t xml:space="preserve">CR No. 1010456789 | VAT No. 310123456700003 | Commercial Registration: Riyadh Municipality</w:t>
      </w:r>
    </w:p>
    <w:p>
      <w:pPr>
        <w:pStyle w:val="BodyText"/>
      </w:pPr>
      <w:r>
        <w:t xml:space="preserve">Phone: +966 11 456 7890 | Email: procurement@alriyadh-industrial.sa</w:t>
      </w:r>
    </w:p>
    <w:bookmarkEnd w:id="20"/>
    <w:p>
      <w:pPr>
        <w:pStyle w:val="BodyText"/>
      </w:pPr>
      <w:r>
        <w:rPr>
          <w:bCs/>
          <w:b/>
        </w:rPr>
        <w:t xml:space="preserve">Purchase Order No.:</w:t>
      </w:r>
      <w:r>
        <w:t xml:space="preserve"> </w:t>
      </w:r>
      <w:r>
        <w:t xml:space="preserve">PO-2025-CE-0472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RYD-CE-2025-003</w:t>
      </w:r>
      <w:r>
        <w:br/>
      </w:r>
      <w:r>
        <w:rPr>
          <w:bCs/>
          <w:b/>
        </w:rPr>
        <w:t xml:space="preserve">Department:</w:t>
      </w:r>
      <w:r>
        <w:t xml:space="preserve"> </w:t>
      </w:r>
      <w:r>
        <w:t xml:space="preserve">Engineering &amp; Process Development</w:t>
      </w:r>
      <w:r>
        <w:br/>
      </w:r>
      <w:r>
        <w:rPr>
          <w:bCs/>
          <w:b/>
        </w:rPr>
        <w:t xml:space="preserve">Priority:</w:t>
      </w:r>
      <w:r>
        <w:t xml:space="preserve"> </w:t>
      </w:r>
      <w:r>
        <w:t xml:space="preserve">High — Critical Path</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Saudi Process Engineering Consultants (SPECC) Ltd.</w:t>
            </w:r>
          </w:p>
        </w:tc>
      </w:tr>
      <w:tr>
        <w:tc>
          <w:tcPr/>
          <w:p>
            <w:pPr>
              <w:pStyle w:val="Compact"/>
              <w:jc w:val="left"/>
            </w:pPr>
            <w:r>
              <w:t xml:space="preserve">Address</w:t>
            </w:r>
          </w:p>
        </w:tc>
        <w:tc>
          <w:tcPr/>
          <w:p>
            <w:pPr>
              <w:pStyle w:val="Compact"/>
              <w:jc w:val="left"/>
            </w:pPr>
            <w:r>
              <w:t xml:space="preserve">Kingdom Tower, Al Malqa District, Riyadh, Saudi Arabia</w:t>
            </w:r>
          </w:p>
        </w:tc>
      </w:tr>
      <w:tr>
        <w:tc>
          <w:tcPr/>
          <w:p>
            <w:pPr>
              <w:pStyle w:val="Compact"/>
              <w:jc w:val="left"/>
            </w:pPr>
            <w:r>
              <w:t xml:space="preserve">Contact Person</w:t>
            </w:r>
          </w:p>
        </w:tc>
        <w:tc>
          <w:tcPr/>
          <w:p>
            <w:pPr>
              <w:pStyle w:val="Compact"/>
              <w:jc w:val="left"/>
            </w:pPr>
            <w:r>
              <w:t xml:space="preserve">Eng. Khalid Al-Harbi, Director of Chemical Engineering Services</w:t>
            </w:r>
          </w:p>
        </w:tc>
      </w:tr>
      <w:tr>
        <w:tc>
          <w:tcPr/>
          <w:p>
            <w:pPr>
              <w:pStyle w:val="Compact"/>
              <w:jc w:val="left"/>
            </w:pPr>
            <w:r>
              <w:t xml:space="preserve">Phone / Email</w:t>
            </w:r>
          </w:p>
        </w:tc>
        <w:tc>
          <w:tcPr/>
          <w:p>
            <w:pPr>
              <w:pStyle w:val="Compact"/>
              <w:jc w:val="left"/>
            </w:pPr>
            <w:r>
              <w:t xml:space="preserve">+966 11 234 5678 / contracts@specc-riyadh.sa</w:t>
            </w:r>
          </w:p>
        </w:tc>
      </w:tr>
      <w:tr>
        <w:tc>
          <w:tcPr/>
          <w:p>
            <w:pPr>
              <w:pStyle w:val="Compact"/>
              <w:jc w:val="left"/>
            </w:pPr>
            <w:r>
              <w:t xml:space="preserve">VAT Registration</w:t>
            </w:r>
          </w:p>
        </w:tc>
        <w:tc>
          <w:tcPr/>
          <w:p>
            <w:pPr>
              <w:pStyle w:val="Compact"/>
              <w:jc w:val="left"/>
            </w:pPr>
            <w:r>
              <w:t xml:space="preserve">310987654300003</w:t>
            </w:r>
          </w:p>
        </w:tc>
      </w:tr>
      <w:tr>
        <w:tc>
          <w:tcPr/>
          <w:p>
            <w:pPr>
              <w:pStyle w:val="Compact"/>
              <w:jc w:val="left"/>
            </w:pPr>
            <w:r>
              <w:t xml:space="preserve">Bank Details</w:t>
            </w:r>
          </w:p>
        </w:tc>
        <w:tc>
          <w:tcPr/>
          <w:p>
            <w:pPr>
              <w:pStyle w:val="Compact"/>
              <w:jc w:val="left"/>
            </w:pPr>
            <w:r>
              <w:t xml:space="preserve">Al Rajhi Bank, Riyadh Branch — IBAN: SA03 8000 0000 6080 1016 7519</w:t>
            </w:r>
          </w:p>
        </w:tc>
      </w:tr>
    </w:tbl>
    <w:bookmarkEnd w:id="21"/>
    <w:bookmarkStart w:id="22" w:name="bill-to-receiving-party"/>
    <w:p>
      <w:pPr>
        <w:pStyle w:val="Heading2"/>
      </w:pPr>
      <w:r>
        <w:t xml:space="preserve">2. Bill To / Receiving Party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w:t>
            </w:r>
          </w:p>
        </w:tc>
        <w:tc>
          <w:tcPr/>
          <w:p>
            <w:pPr>
              <w:pStyle w:val="Compact"/>
              <w:jc w:val="left"/>
            </w:pPr>
            <w:r>
              <w:t xml:space="preserve">Al-Riyadh Industrial Solutions Co. Ltd.</w:t>
            </w:r>
          </w:p>
        </w:tc>
      </w:tr>
      <w:tr>
        <w:tc>
          <w:tcPr/>
          <w:p>
            <w:pPr>
              <w:pStyle w:val="Compact"/>
              <w:jc w:val="left"/>
            </w:pPr>
            <w:r>
              <w:t xml:space="preserve">Address</w:t>
            </w:r>
          </w:p>
        </w:tc>
        <w:tc>
          <w:tcPr/>
          <w:p>
            <w:pPr>
              <w:pStyle w:val="Compact"/>
              <w:jc w:val="left"/>
            </w:pPr>
            <w:r>
              <w:t xml:space="preserve">King Fahd Road, Al Olaya, Riyadh, Saudi Arabia</w:t>
            </w:r>
          </w:p>
        </w:tc>
      </w:tr>
      <w:tr>
        <w:tc>
          <w:tcPr/>
          <w:p>
            <w:pPr>
              <w:pStyle w:val="Compact"/>
              <w:jc w:val="left"/>
            </w:pPr>
            <w:r>
              <w:t xml:space="preserve">Authorized Recipient</w:t>
            </w:r>
          </w:p>
        </w:tc>
        <w:tc>
          <w:tcPr/>
          <w:p>
            <w:pPr>
              <w:pStyle w:val="Compact"/>
              <w:jc w:val="left"/>
            </w:pPr>
            <w:r>
              <w:t xml:space="preserve">Ms. Noura Al-Saud, Head of Procurement</w:t>
            </w:r>
          </w:p>
        </w:tc>
      </w:tr>
      <w:tr>
        <w:tc>
          <w:tcPr/>
          <w:p>
            <w:pPr>
              <w:pStyle w:val="Compact"/>
              <w:jc w:val="left"/>
            </w:pPr>
            <w:r>
              <w:t xml:space="preserve">Delivery / Commencement Site</w:t>
            </w:r>
          </w:p>
        </w:tc>
        <w:tc>
          <w:tcPr/>
          <w:p>
            <w:pPr>
              <w:pStyle w:val="Compact"/>
              <w:jc w:val="left"/>
            </w:pPr>
            <w:r>
              <w:t xml:space="preserve">Al-Riyadh Industrial City, Phase 3, Plot 118, Riyadh, Saudi Arabia</w:t>
            </w:r>
          </w:p>
        </w:tc>
      </w:tr>
    </w:tbl>
    <w:bookmarkEnd w:id="22"/>
    <w:bookmarkStart w:id="23" w:name="scope-of-work-line-items"/>
    <w:p>
      <w:pPr>
        <w:pStyle w:val="Heading2"/>
      </w:pPr>
      <w:r>
        <w:t xml:space="preserve">3. Scope of Work &amp; Line Items</w:t>
      </w:r>
    </w:p>
    <w:p>
      <w:pPr>
        <w:pStyle w:val="FirstParagraph"/>
      </w:pPr>
      <w:r>
        <w:t xml:space="preserve">This Purchase Order is issued to engage a qualified</w:t>
      </w:r>
      <w:r>
        <w:t xml:space="preserve"> </w:t>
      </w:r>
      <w:r>
        <w:rPr>
          <w:bCs/>
          <w:b/>
        </w:rPr>
        <w:t xml:space="preserve">Chemical Engineer</w:t>
      </w:r>
      <w:r>
        <w:t xml:space="preserve"> </w:t>
      </w:r>
      <w:r>
        <w:t xml:space="preserve">and associated technical support services for the design, optimization, and commissioning of a petrochemical processing unit located in</w:t>
      </w:r>
      <w:r>
        <w:t xml:space="preserve"> </w:t>
      </w:r>
      <w:r>
        <w:rPr>
          <w:bCs/>
          <w:b/>
        </w:rPr>
        <w:t xml:space="preserve">Saudi Arabia Riyadh</w:t>
      </w:r>
      <w:r>
        <w:t xml:space="preserve">. The scope encompasses process design, safety assessments, equipment specification, and on-site supervision in full compliance with Saudi Arabian Standards Organization (SASO) regulations and the Saudi Ministry of Industry and Mineral Resources (MIM) guidelines.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Senior Chemical Engineer — Process Design &amp; P&amp;ID Development for C4 Fractionation Unit (on-site, Riyadh)</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July 2025</w:t>
            </w:r>
          </w:p>
        </w:tc>
      </w:tr>
      <w:tr>
        <w:tc>
          <w:tcPr/>
          <w:p>
            <w:pPr>
              <w:pStyle w:val="Compact"/>
              <w:jc w:val="left"/>
            </w:pPr>
            <w:r>
              <w:t xml:space="preserve">2</w:t>
            </w:r>
          </w:p>
        </w:tc>
        <w:tc>
          <w:tcPr/>
          <w:p>
            <w:pPr>
              <w:pStyle w:val="Compact"/>
              <w:jc w:val="left"/>
            </w:pPr>
            <w:r>
              <w:t xml:space="preserve">Chemical Engineer — HAZOP Study &amp; Safety Integrity Level (SIL) Assessment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August 2025</w:t>
            </w:r>
          </w:p>
        </w:tc>
      </w:tr>
      <w:tr>
        <w:tc>
          <w:tcPr/>
          <w:p>
            <w:pPr>
              <w:pStyle w:val="Compact"/>
              <w:jc w:val="left"/>
            </w:pPr>
            <w:r>
              <w:t xml:space="preserve">3</w:t>
            </w:r>
          </w:p>
        </w:tc>
        <w:tc>
          <w:tcPr/>
          <w:p>
            <w:pPr>
              <w:pStyle w:val="Compact"/>
              <w:jc w:val="left"/>
            </w:pPr>
            <w:r>
              <w:t xml:space="preserve">Chemical Engineer — Equipment Sizing, Material Selection &amp; Vendor Technical Bid Evaluation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September 2025</w:t>
            </w:r>
          </w:p>
        </w:tc>
      </w:tr>
      <w:tr>
        <w:tc>
          <w:tcPr/>
          <w:p>
            <w:pPr>
              <w:pStyle w:val="Compact"/>
              <w:jc w:val="left"/>
            </w:pPr>
            <w:r>
              <w:t xml:space="preserve">4</w:t>
            </w:r>
          </w:p>
        </w:tc>
        <w:tc>
          <w:tcPr/>
          <w:p>
            <w:pPr>
              <w:pStyle w:val="Compact"/>
              <w:jc w:val="left"/>
            </w:pPr>
            <w:r>
              <w:t xml:space="preserve">Junior Chemical Engineer — Process Simulation (Aspen Plus / HYSYS) &amp; Heat &amp; Mass Balance Reports</w:t>
            </w:r>
          </w:p>
        </w:tc>
        <w:tc>
          <w:tcPr/>
          <w:p>
            <w:pPr>
              <w:pStyle w:val="Compact"/>
              <w:jc w:val="left"/>
            </w:pPr>
            <w:r>
              <w:t xml:space="preserve">2</w:t>
            </w:r>
          </w:p>
        </w:tc>
        <w:tc>
          <w:tcPr/>
          <w:p>
            <w:pPr>
              <w:pStyle w:val="Compact"/>
              <w:jc w:val="left"/>
            </w:pPr>
            <w:r>
              <w:t xml:space="preserve">Engineer</w:t>
            </w:r>
          </w:p>
        </w:tc>
        <w:tc>
          <w:tcPr/>
          <w:p>
            <w:pPr>
              <w:pStyle w:val="Compact"/>
              <w:jc w:val="left"/>
            </w:pPr>
            <w:r>
              <w:t xml:space="preserve">48,000.00</w:t>
            </w:r>
          </w:p>
        </w:tc>
        <w:tc>
          <w:tcPr/>
          <w:p>
            <w:pPr>
              <w:pStyle w:val="Compact"/>
              <w:jc w:val="left"/>
            </w:pPr>
            <w:r>
              <w:t xml:space="preserve">96,000.00</w:t>
            </w:r>
          </w:p>
        </w:tc>
        <w:tc>
          <w:tcPr/>
          <w:p>
            <w:pPr>
              <w:pStyle w:val="Compact"/>
              <w:jc w:val="left"/>
            </w:pPr>
            <w:r>
              <w:t xml:space="preserve">July 2025</w:t>
            </w:r>
          </w:p>
        </w:tc>
      </w:tr>
      <w:tr>
        <w:tc>
          <w:tcPr/>
          <w:p>
            <w:pPr>
              <w:pStyle w:val="Compact"/>
              <w:jc w:val="left"/>
            </w:pPr>
            <w:r>
              <w:t xml:space="preserve">5</w:t>
            </w:r>
          </w:p>
        </w:tc>
        <w:tc>
          <w:tcPr/>
          <w:p>
            <w:pPr>
              <w:pStyle w:val="Compact"/>
              <w:jc w:val="left"/>
            </w:pPr>
            <w:r>
              <w:t xml:space="preserve">On-Site Commissioning &amp; Performance Testing Supervision by Lead Chemical Engineer (Riyadh Industrial City)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72,000.00</w:t>
            </w:r>
          </w:p>
        </w:tc>
        <w:tc>
          <w:tcPr/>
          <w:p>
            <w:pPr>
              <w:pStyle w:val="Compact"/>
              <w:jc w:val="left"/>
            </w:pPr>
            <w:r>
              <w:t xml:space="preserve">72,000.00</w:t>
            </w:r>
          </w:p>
        </w:tc>
        <w:tc>
          <w:tcPr/>
          <w:p>
            <w:pPr>
              <w:pStyle w:val="Compact"/>
              <w:jc w:val="left"/>
            </w:pPr>
            <w:r>
              <w:t xml:space="preserve">October 2025</w:t>
            </w:r>
          </w:p>
        </w:tc>
      </w:tr>
      <w:tr>
        <w:tc>
          <w:tcPr/>
          <w:p>
            <w:pPr>
              <w:pStyle w:val="Compact"/>
              <w:jc w:val="left"/>
            </w:pPr>
            <w:r>
              <w:t xml:space="preserve">6</w:t>
            </w:r>
          </w:p>
        </w:tc>
        <w:tc>
          <w:tcPr/>
          <w:p>
            <w:pPr>
              <w:pStyle w:val="Compact"/>
              <w:jc w:val="left"/>
            </w:pPr>
            <w:r>
              <w:t xml:space="preserve">Technical Documentation Package — Operation &amp; Maintenance Manuals, Chemical Process Safety Data Sheets (SDS)</w:t>
            </w:r>
          </w:p>
        </w:tc>
        <w:tc>
          <w:tcPr/>
          <w:p>
            <w:pPr>
              <w:pStyle w:val="Compact"/>
              <w:jc w:val="left"/>
            </w:pPr>
            <w:r>
              <w:t xml:space="preserve">1</w:t>
            </w:r>
          </w:p>
        </w:tc>
        <w:tc>
          <w:tcPr/>
          <w:p>
            <w:pPr>
              <w:pStyle w:val="Compact"/>
              <w:jc w:val="left"/>
            </w:pPr>
            <w:r>
              <w:t xml:space="preserve">Set</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November 2025</w:t>
            </w:r>
          </w:p>
        </w:tc>
      </w:tr>
      <w:tr>
        <w:tc>
          <w:tcPr/>
          <w:p>
            <w:pPr>
              <w:pStyle w:val="Compact"/>
              <w:jc w:val="left"/>
            </w:pPr>
            <w:r>
              <w:t xml:space="preserve">7</w:t>
            </w:r>
          </w:p>
        </w:tc>
        <w:tc>
          <w:tcPr/>
          <w:p>
            <w:pPr>
              <w:pStyle w:val="Compact"/>
              <w:jc w:val="left"/>
            </w:pPr>
            <w:r>
              <w:t xml:space="preserve">Regulatory Compliance Review — Saudi Environmental Ministry (MEWA) Permits &amp; Effluent Treatment Design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September 2025</w:t>
            </w:r>
          </w:p>
        </w:tc>
      </w:tr>
    </w:tbl>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(SAR)</w:t>
            </w:r>
          </w:p>
        </w:tc>
      </w:tr>
      <w:tr>
        <w:tc>
          <w:tcPr/>
          <w:p>
            <w:pPr>
              <w:pStyle w:val="Compact"/>
              <w:jc w:val="left"/>
            </w:pPr>
            <w:r>
              <w:t xml:space="preserve">Subtotal (Items 1–7)</w:t>
            </w:r>
          </w:p>
        </w:tc>
        <w:tc>
          <w:tcPr/>
          <w:p>
            <w:pPr>
              <w:pStyle w:val="Compact"/>
              <w:jc w:val="left"/>
            </w:pPr>
            <w:r>
              <w:t xml:space="preserve">651,000.00</w:t>
            </w:r>
          </w:p>
        </w:tc>
      </w:tr>
      <w:tr>
        <w:tc>
          <w:tcPr/>
          <w:p>
            <w:pPr>
              <w:pStyle w:val="Compact"/>
              <w:jc w:val="left"/>
            </w:pPr>
            <w:r>
              <w:t xml:space="preserve">VAT @ 15% (Saudi Arabia)</w:t>
            </w:r>
          </w:p>
        </w:tc>
        <w:tc>
          <w:tcPr/>
          <w:p>
            <w:pPr>
              <w:pStyle w:val="Compact"/>
              <w:jc w:val="left"/>
            </w:pPr>
            <w:r>
              <w:t xml:space="preserve">97,650.00</w:t>
            </w:r>
          </w:p>
        </w:tc>
      </w:tr>
      <w:tr>
        <w:tc>
          <w:tcPr/>
          <w:p>
            <w:pPr>
              <w:pStyle w:val="Compact"/>
              <w:jc w:val="left"/>
            </w:pPr>
            <w:r>
              <w:rPr>
                <w:bCs/>
                <w:b/>
              </w:rPr>
              <w:t xml:space="preserve">Grand Total (SAR)</w:t>
            </w:r>
          </w:p>
        </w:tc>
        <w:tc>
          <w:tcPr/>
          <w:p>
            <w:pPr>
              <w:pStyle w:val="Compact"/>
              <w:jc w:val="left"/>
            </w:pPr>
            <w:r>
              <w:rPr>
                <w:bCs/>
                <w:b/>
              </w:rPr>
              <w:t xml:space="preserve">748,650.00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within 30 days of receipt of a valid invoice and certified progress report. A 10% mobilization advance is payable upon execution of this Purchase Order. The remaining balance shall be released in monthly installments tied to milestone completion as approved by the Al-Riyadh Industrial Solutions project manager.</w:t>
      </w:r>
    </w:p>
    <w:p>
      <w:pPr>
        <w:numPr>
          <w:ilvl w:val="0"/>
          <w:numId w:val="1001"/>
        </w:numPr>
        <w:pStyle w:val="Compact"/>
      </w:pPr>
      <w:r>
        <w:rPr>
          <w:bCs/>
          <w:b/>
        </w:rPr>
        <w:t xml:space="preserve">Commencement &amp; Duration:</w:t>
      </w:r>
      <w:r>
        <w:t xml:space="preserve"> </w:t>
      </w:r>
      <w:r>
        <w:t xml:space="preserve">The Chemical Engineer and support team shall report to the project site in Riyadh, Saudi Arabia, no later than 1 July 2025. The total contract duration is six (6) months, extendable by mutual written agreement.</w:t>
      </w:r>
    </w:p>
    <w:p>
      <w:pPr>
        <w:numPr>
          <w:ilvl w:val="0"/>
          <w:numId w:val="1001"/>
        </w:numPr>
        <w:pStyle w:val="Compact"/>
      </w:pPr>
      <w:r>
        <w:rPr>
          <w:bCs/>
          <w:b/>
        </w:rPr>
        <w:t xml:space="preserve">Qualifications:</w:t>
      </w:r>
      <w:r>
        <w:t xml:space="preserve"> </w:t>
      </w:r>
      <w:r>
        <w:t xml:space="preserve">The lead Chemical Engineer must hold a minimum of a Bachelor's degree in Chemical Engineering from an accredited institution, possess at least ten (10) years of experience in petrochemical or process industries, and be registered with the Saudi Council of Engineers (SCE). All supporting engineers must hold valid Saudi professional licenses.</w:t>
      </w:r>
    </w:p>
    <w:p>
      <w:pPr>
        <w:numPr>
          <w:ilvl w:val="0"/>
          <w:numId w:val="1001"/>
        </w:numPr>
        <w:pStyle w:val="Compact"/>
      </w:pPr>
      <w:r>
        <w:rPr>
          <w:bCs/>
          <w:b/>
        </w:rPr>
        <w:t xml:space="preserve">Compliance:</w:t>
      </w:r>
      <w:r>
        <w:t xml:space="preserve"> </w:t>
      </w:r>
      <w:r>
        <w:t xml:space="preserve">All deliverables must conform to Saudi Arabian Standards (SASO), International Organization for Standardization (ISO) 9001:2015, and applicable regulations of the Saudi Ministry of Industry and Mineral Resources. The Chemical Engineer shall ensure all process designs meet the Saudi Green Initiative environmental thresholds.</w:t>
      </w:r>
    </w:p>
    <w:p>
      <w:pPr>
        <w:numPr>
          <w:ilvl w:val="0"/>
          <w:numId w:val="1001"/>
        </w:numPr>
        <w:pStyle w:val="Compact"/>
      </w:pPr>
      <w:r>
        <w:rPr>
          <w:bCs/>
          <w:b/>
        </w:rPr>
        <w:t xml:space="preserve">Confidentiality:</w:t>
      </w:r>
      <w:r>
        <w:t xml:space="preserve"> </w:t>
      </w:r>
      <w:r>
        <w:t xml:space="preserve">The vendor and all assigned Chemical Engineer personnel shall sign a Non-Disclosure Agreement (NDA) prior to accessing any proprietary process data, plant layouts, or operational parameters of the Riyadh facility.</w:t>
      </w:r>
    </w:p>
    <w:p>
      <w:pPr>
        <w:numPr>
          <w:ilvl w:val="0"/>
          <w:numId w:val="1001"/>
        </w:numPr>
        <w:pStyle w:val="Compact"/>
      </w:pPr>
      <w:r>
        <w:rPr>
          <w:bCs/>
          <w:b/>
        </w:rPr>
        <w:t xml:space="preserve">Insurance &amp; Liability:</w:t>
      </w:r>
      <w:r>
        <w:t xml:space="preserve"> </w:t>
      </w:r>
      <w:r>
        <w:t xml:space="preserve">The vendor shall maintain comprehensive professional indemnity insurance of not less than SAR 5,000,000 and workers' compensation coverage for all personnel deployed in Saudi Arabia Riyadh. The vendor assumes full liability for design errors or omissions attributable to the Chemical Engineer's scope.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vendor shall be compensated for work completed and documented up to the termination date.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Saudi Arabia. Any disputes shall be resolved through arbitration in Riyadh under the rules of the Saudi Center for Commercial Arbitration (SCCA).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pandemics affecting operations in Saudi Arabia Riyadh.</w:t>
      </w:r>
    </w:p>
    <w:bookmarkEnd w:id="25"/>
    <w:bookmarkStart w:id="26" w:name="acceptance-authorization"/>
    <w:p>
      <w:pPr>
        <w:pStyle w:val="Heading2"/>
      </w:pPr>
      <w:r>
        <w:t xml:space="preserve">6. Acceptance &amp; Authorization</w:t>
      </w:r>
    </w:p>
    <w:p>
      <w:pPr>
        <w:pStyle w:val="FirstParagraph"/>
      </w:pPr>
      <w:r>
        <w:t xml:space="preserve">This Purchase Order is issued by Al-Riyadh Industrial Solutions Co. Ltd. and constitutes a binding commitment to procure the Chemical Engineer services described herein for the Riyadh, Saudi Arabia project site. The vendor's acceptance of this Purchase Order shall be confirmed by countersignature below within five (5) business days of receipt.</w:t>
      </w:r>
    </w:p>
    <w:p>
      <w:pPr>
        <w:pStyle w:val="BodyText"/>
      </w:pPr>
      <w:r>
        <w:rPr>
          <w:bCs/>
          <w:b/>
        </w:rPr>
        <w:t xml:space="preserve">For and on behalf of Al-Riyadh Industrial Solutions Co. Ltd.:</w:t>
      </w:r>
    </w:p>
    <w:p>
      <w:pPr>
        <w:pStyle w:val="BodyText"/>
      </w:pPr>
      <w:r>
        <w:rPr>
          <w:bCs/>
          <w:b/>
        </w:rPr>
        <w:t xml:space="preserve">Name:</w:t>
      </w:r>
      <w:r>
        <w:t xml:space="preserve"> </w:t>
      </w:r>
      <w:r>
        <w:t xml:space="preserve">Noura Al-Saud</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Saudi Process Engineering Consultants (SPECC) Ltd.:</w:t>
      </w:r>
    </w:p>
    <w:p>
      <w:pPr>
        <w:pStyle w:val="BodyText"/>
      </w:pPr>
      <w:r>
        <w:rPr>
          <w:bCs/>
          <w:b/>
        </w:rPr>
        <w:t xml:space="preserve">Name:</w:t>
      </w:r>
      <w:r>
        <w:t xml:space="preserve"> </w:t>
      </w:r>
      <w:r>
        <w:t xml:space="preserve">Eng. Khalid Al-Harbi</w:t>
      </w:r>
      <w:r>
        <w:br/>
      </w:r>
      <w:r>
        <w:rPr>
          <w:bCs/>
          <w:b/>
        </w:rPr>
        <w:t xml:space="preserve">Title:</w:t>
      </w:r>
      <w:r>
        <w:t xml:space="preserve"> </w:t>
      </w:r>
      <w:r>
        <w:t xml:space="preserve">Director, Chemical Engineering Services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Document Control:</w:t>
      </w:r>
      <w:r>
        <w:t xml:space="preserve"> </w:t>
      </w:r>
      <w:r>
        <w:t xml:space="preserve">Purchase Order PO-2025-CE-0472 | Version 1.0 | Issued: 15 June 2025 | Classification: Confidential — Internal Use Only</w:t>
      </w:r>
    </w:p>
    <w:p>
      <w:pPr>
        <w:pStyle w:val="BodyText"/>
      </w:pPr>
      <w:r>
        <w:t xml:space="preserve">This Purchase Order is valid only for the Chemical Engineer services specified herein and for the project site located in Riyadh, Saudi Arabia. Any amendments must be issued as a formal Purchase Order revision in writing and signed by both parties. Al-Riyadh Industrial Solutions Co. Ltd. reserves the right to modify scope, schedule, or deliverables with prior written notice to the vendor.</w:t>
      </w:r>
    </w:p>
    <w:p>
      <w:pPr>
        <w:pStyle w:val="BodyText"/>
      </w:pPr>
      <w:r>
        <w:t xml:space="preserve">© 2025 Al-Riyadh Industrial Solutions Co. Ltd. All rights reserved. Printed in Riyadh, Kingdom of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Saudi Arabia Riyadh</dc:title>
  <dc:creator/>
  <dc:language>en</dc:language>
  <cp:keywords/>
  <dcterms:created xsi:type="dcterms:W3CDTF">2026-10-10T09:12:11Z</dcterms:created>
  <dcterms:modified xsi:type="dcterms:W3CDTF">2026-10-10T09:12:11Z</dcterms:modified>
</cp:coreProperties>
</file>

<file path=docProps/custom.xml><?xml version="1.0" encoding="utf-8"?>
<Properties xmlns="http://schemas.openxmlformats.org/officeDocument/2006/custom-properties" xmlns:vt="http://schemas.openxmlformats.org/officeDocument/2006/docPropsVTypes"/>
</file>