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PO-ADH-2025-04782</w:t>
      </w:r>
    </w:p>
    <w:p>
      <w:pPr>
        <w:pStyle w:val="BodyText"/>
      </w:pPr>
      <w:r>
        <w:t xml:space="preserve">Issue Date: 15 June 2025</w:t>
      </w:r>
    </w:p>
    <w:p>
      <w:pPr>
        <w:pStyle w:val="BodyText"/>
      </w:pPr>
      <w:r>
        <w:t xml:space="preserve">Valid Until: 15 July 2025</w:t>
      </w:r>
    </w:p>
    <w:bookmarkStart w:id="20" w:name="purchase-order"/>
    <w:p>
      <w:pPr>
        <w:pStyle w:val="Heading1"/>
      </w:pPr>
      <w:r>
        <w:t xml:space="preserve">PURCHASE ORDER</w:t>
      </w:r>
    </w:p>
    <w:p>
      <w:pPr>
        <w:pStyle w:val="FirstParagraph"/>
      </w:pPr>
      <w:r>
        <w:t xml:space="preserve">Procurement of Professional Chemical Engineer Services — United Arab Emirates, Abu Dhabi</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Abu Dhabi Industrial Processing &amp; Refining LLC</w:t>
            </w:r>
          </w:p>
        </w:tc>
      </w:tr>
      <w:tr>
        <w:tc>
          <w:tcPr/>
          <w:p>
            <w:pPr>
              <w:pStyle w:val="Compact"/>
              <w:jc w:val="left"/>
            </w:pPr>
            <w:r>
              <w:rPr>
                <w:bCs/>
                <w:b/>
              </w:rPr>
              <w:t xml:space="preserve">Trade License No.:</w:t>
            </w:r>
          </w:p>
        </w:tc>
        <w:tc>
          <w:tcPr/>
          <w:p>
            <w:pPr>
              <w:pStyle w:val="Compact"/>
              <w:jc w:val="left"/>
            </w:pPr>
            <w:r>
              <w:t xml:space="preserve">AD-TRD-2019-44821</w:t>
            </w:r>
          </w:p>
        </w:tc>
      </w:tr>
      <w:tr>
        <w:tc>
          <w:tcPr/>
          <w:p>
            <w:pPr>
              <w:pStyle w:val="Compact"/>
              <w:jc w:val="left"/>
            </w:pPr>
            <w:r>
              <w:rPr>
                <w:bCs/>
                <w:b/>
              </w:rPr>
              <w:t xml:space="preserve">Address:</w:t>
            </w:r>
          </w:p>
        </w:tc>
        <w:tc>
          <w:tcPr/>
          <w:p>
            <w:pPr>
              <w:pStyle w:val="Compact"/>
              <w:jc w:val="left"/>
            </w:pPr>
            <w:r>
              <w:t xml:space="preserve">Plot 127, Al Reem Island, P.O. Box 34567, Abu Dhabi, United Arab Emirates</w:t>
            </w:r>
          </w:p>
        </w:tc>
      </w:tr>
      <w:tr>
        <w:tc>
          <w:tcPr/>
          <w:p>
            <w:pPr>
              <w:pStyle w:val="Compact"/>
              <w:jc w:val="left"/>
            </w:pPr>
            <w:r>
              <w:rPr>
                <w:bCs/>
                <w:b/>
              </w:rPr>
              <w:t xml:space="preserve">Contact Person:</w:t>
            </w:r>
          </w:p>
        </w:tc>
        <w:tc>
          <w:tcPr/>
          <w:p>
            <w:pPr>
              <w:pStyle w:val="Compact"/>
              <w:jc w:val="left"/>
            </w:pPr>
            <w:r>
              <w:t xml:space="preserve">Eng. Khalid Al Mansoori — Head of Procurement</w:t>
            </w:r>
          </w:p>
        </w:tc>
      </w:tr>
      <w:tr>
        <w:tc>
          <w:tcPr/>
          <w:p>
            <w:pPr>
              <w:pStyle w:val="Compact"/>
              <w:jc w:val="left"/>
            </w:pPr>
            <w:r>
              <w:rPr>
                <w:bCs/>
                <w:b/>
              </w:rPr>
              <w:t xml:space="preserve">Email / Phone:</w:t>
            </w:r>
          </w:p>
        </w:tc>
        <w:tc>
          <w:tcPr/>
          <w:p>
            <w:pPr>
              <w:pStyle w:val="Compact"/>
              <w:jc w:val="left"/>
            </w:pPr>
            <w:r>
              <w:t xml:space="preserve">procurement@adipr.ae / +971 2 445 6789</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Gulf Petrochemical Consulting &amp; Engineering FZ-LLC</w:t>
            </w:r>
          </w:p>
        </w:tc>
      </w:tr>
      <w:tr>
        <w:tc>
          <w:tcPr/>
          <w:p>
            <w:pPr>
              <w:pStyle w:val="Compact"/>
              <w:jc w:val="left"/>
            </w:pPr>
            <w:r>
              <w:rPr>
                <w:bCs/>
                <w:b/>
              </w:rPr>
              <w:t xml:space="preserve">Trade License No.:</w:t>
            </w:r>
          </w:p>
        </w:tc>
        <w:tc>
          <w:tcPr/>
          <w:p>
            <w:pPr>
              <w:pStyle w:val="Compact"/>
              <w:jc w:val="left"/>
            </w:pPr>
            <w:r>
              <w:t xml:space="preserve">AD-FZ-2021-78234</w:t>
            </w:r>
          </w:p>
        </w:tc>
      </w:tr>
      <w:tr>
        <w:tc>
          <w:tcPr/>
          <w:p>
            <w:pPr>
              <w:pStyle w:val="Compact"/>
              <w:jc w:val="left"/>
            </w:pPr>
            <w:r>
              <w:rPr>
                <w:bCs/>
                <w:b/>
              </w:rPr>
              <w:t xml:space="preserve">Address:</w:t>
            </w:r>
          </w:p>
        </w:tc>
        <w:tc>
          <w:tcPr/>
          <w:p>
            <w:pPr>
              <w:pStyle w:val="Compact"/>
              <w:jc w:val="left"/>
            </w:pPr>
            <w:r>
              <w:t xml:space="preserve">Office 412, Level 4, Al Maryah Island Business Bay, Abu Dhabi, United Arab Emirates</w:t>
            </w:r>
          </w:p>
        </w:tc>
      </w:tr>
      <w:tr>
        <w:tc>
          <w:tcPr/>
          <w:p>
            <w:pPr>
              <w:pStyle w:val="Compact"/>
              <w:jc w:val="left"/>
            </w:pPr>
            <w:r>
              <w:rPr>
                <w:bCs/>
                <w:b/>
              </w:rPr>
              <w:t xml:space="preserve">Contact Person:</w:t>
            </w:r>
          </w:p>
        </w:tc>
        <w:tc>
          <w:tcPr/>
          <w:p>
            <w:pPr>
              <w:pStyle w:val="Compact"/>
              <w:jc w:val="left"/>
            </w:pPr>
            <w:r>
              <w:t xml:space="preserve">Dr. Sarah Al Farsi — Director of Engineering Services</w:t>
            </w:r>
          </w:p>
        </w:tc>
      </w:tr>
      <w:tr>
        <w:tc>
          <w:tcPr/>
          <w:p>
            <w:pPr>
              <w:pStyle w:val="Compact"/>
              <w:jc w:val="left"/>
            </w:pPr>
            <w:r>
              <w:rPr>
                <w:bCs/>
                <w:b/>
              </w:rPr>
              <w:t xml:space="preserve">Email / Phone:</w:t>
            </w:r>
          </w:p>
        </w:tc>
        <w:tc>
          <w:tcPr/>
          <w:p>
            <w:pPr>
              <w:pStyle w:val="Compact"/>
              <w:jc w:val="left"/>
            </w:pPr>
            <w:r>
              <w:t xml:space="preserve">services@gulfpetro.ae / +971 2 667 8901</w:t>
            </w:r>
          </w:p>
        </w:tc>
      </w:tr>
    </w:tbl>
    <w:bookmarkEnd w:id="22"/>
    <w:bookmarkStart w:id="23" w:name="Xd94fcda8f298a1ab96b1d7fc0ca8b26ed31afc8"/>
    <w:p>
      <w:pPr>
        <w:pStyle w:val="Heading2"/>
      </w:pPr>
      <w:r>
        <w:t xml:space="preserve">3. Scope of Purchase — Chemical Engineer Services</w:t>
      </w:r>
    </w:p>
    <w:p>
      <w:pPr>
        <w:pStyle w:val="FirstParagraph"/>
      </w:pPr>
      <w:r>
        <w:t xml:space="preserve">This Purchase Order is issued by Abu Dhabi Industrial Processing &amp; Refining LLC for the engagement of a qualified</w:t>
      </w:r>
      <w:r>
        <w:t xml:space="preserve"> </w:t>
      </w:r>
      <w:r>
        <w:rPr>
          <w:bCs/>
          <w:b/>
        </w:rPr>
        <w:t xml:space="preserve">Chemical Engineer</w:t>
      </w:r>
      <w:r>
        <w:t xml:space="preserve"> </w:t>
      </w:r>
      <w:r>
        <w:t xml:space="preserve">to provide specialized process design, safety assessment, and operational optimization services at the buyer's petrochemical facility located in the Abu Dhabi Industrial Zone, United Arab Emirates. The Chemical Engineer shall hold a minimum of a Bachelor's degree in Chemical Engineering from an accredited institution, possess a valid professional license issued by the Abu Dhabi Department of Economic Development, and demonstrate a minimum of eight (8) years of hands-on experience in hydrocarbon processing, reactor design, and environmental compliance within the United Arab Emirates Abu Dhabi industrial sector.</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Senior Chemical Engineer — Process Design &amp; Simulation (Aspen Plus, HYSYS) for new ethylene oxide reactor unit</w:t>
            </w:r>
          </w:p>
        </w:tc>
        <w:tc>
          <w:tcPr/>
          <w:p>
            <w:pPr>
              <w:pStyle w:val="Compact"/>
              <w:jc w:val="left"/>
            </w:pPr>
            <w:r>
              <w:t xml:space="preserve">1</w:t>
            </w:r>
          </w:p>
        </w:tc>
        <w:tc>
          <w:tcPr/>
          <w:p>
            <w:pPr>
              <w:pStyle w:val="Compact"/>
              <w:jc w:val="left"/>
            </w:pPr>
            <w:r>
              <w:t xml:space="preserve">Engagement (90 days)</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Chemical Engineer — HAZOP &amp; Safety Integrity Level (SIL) Assessment for existing distillation columns</w:t>
            </w:r>
          </w:p>
        </w:tc>
        <w:tc>
          <w:tcPr/>
          <w:p>
            <w:pPr>
              <w:pStyle w:val="Compact"/>
              <w:jc w:val="left"/>
            </w:pPr>
            <w:r>
              <w:t xml:space="preserve">1</w:t>
            </w:r>
          </w:p>
        </w:tc>
        <w:tc>
          <w:tcPr/>
          <w:p>
            <w:pPr>
              <w:pStyle w:val="Compact"/>
              <w:jc w:val="left"/>
            </w:pPr>
            <w:r>
              <w:t xml:space="preserve">Engagement (30 days)</w:t>
            </w:r>
          </w:p>
        </w:tc>
        <w:tc>
          <w:tcPr/>
          <w:p>
            <w:pPr>
              <w:pStyle w:val="Compact"/>
              <w:jc w:val="left"/>
            </w:pPr>
            <w:r>
              <w:t xml:space="preserve">72,500.00</w:t>
            </w:r>
          </w:p>
        </w:tc>
        <w:tc>
          <w:tcPr/>
          <w:p>
            <w:pPr>
              <w:pStyle w:val="Compact"/>
              <w:jc w:val="left"/>
            </w:pPr>
            <w:r>
              <w:t xml:space="preserve">72,500.00</w:t>
            </w:r>
          </w:p>
        </w:tc>
      </w:tr>
      <w:tr>
        <w:tc>
          <w:tcPr/>
          <w:p>
            <w:pPr>
              <w:pStyle w:val="Compact"/>
              <w:jc w:val="left"/>
            </w:pPr>
            <w:r>
              <w:t xml:space="preserve">03</w:t>
            </w:r>
          </w:p>
        </w:tc>
        <w:tc>
          <w:tcPr/>
          <w:p>
            <w:pPr>
              <w:pStyle w:val="Compact"/>
              <w:jc w:val="left"/>
            </w:pPr>
            <w:r>
              <w:t xml:space="preserve">Chemical Engineer — Environmental Compliance Audit &amp; Emission Reduction Strategy per Abu Dhabi Environment Agency regulations</w:t>
            </w:r>
          </w:p>
        </w:tc>
        <w:tc>
          <w:tcPr/>
          <w:p>
            <w:pPr>
              <w:pStyle w:val="Compact"/>
              <w:jc w:val="left"/>
            </w:pPr>
            <w:r>
              <w:t xml:space="preserve">1</w:t>
            </w:r>
          </w:p>
        </w:tc>
        <w:tc>
          <w:tcPr/>
          <w:p>
            <w:pPr>
              <w:pStyle w:val="Compact"/>
              <w:jc w:val="left"/>
            </w:pPr>
            <w:r>
              <w:t xml:space="preserve">Engagement (21 days)</w:t>
            </w:r>
          </w:p>
        </w:tc>
        <w:tc>
          <w:tcPr/>
          <w:p>
            <w:pPr>
              <w:pStyle w:val="Compact"/>
              <w:jc w:val="left"/>
            </w:pPr>
            <w:r>
              <w:t xml:space="preserve">54,000.00</w:t>
            </w:r>
          </w:p>
        </w:tc>
        <w:tc>
          <w:tcPr/>
          <w:p>
            <w:pPr>
              <w:pStyle w:val="Compact"/>
              <w:jc w:val="left"/>
            </w:pPr>
            <w:r>
              <w:t xml:space="preserve">54,000.00</w:t>
            </w:r>
          </w:p>
        </w:tc>
      </w:tr>
      <w:tr>
        <w:tc>
          <w:tcPr/>
          <w:p>
            <w:pPr>
              <w:pStyle w:val="Compact"/>
              <w:jc w:val="left"/>
            </w:pPr>
            <w:r>
              <w:t xml:space="preserve">04</w:t>
            </w:r>
          </w:p>
        </w:tc>
        <w:tc>
          <w:tcPr/>
          <w:p>
            <w:pPr>
              <w:pStyle w:val="Compact"/>
              <w:jc w:val="left"/>
            </w:pPr>
            <w:r>
              <w:t xml:space="preserve">Chemical Engineer — On-site Technical Supervision &amp; Commissioning Support (Abu Dhabi Industrial Zone facility)</w:t>
            </w:r>
          </w:p>
        </w:tc>
        <w:tc>
          <w:tcPr/>
          <w:p>
            <w:pPr>
              <w:pStyle w:val="Compact"/>
              <w:jc w:val="left"/>
            </w:pPr>
            <w:r>
              <w:t xml:space="preserve">45</w:t>
            </w:r>
          </w:p>
        </w:tc>
        <w:tc>
          <w:tcPr/>
          <w:p>
            <w:pPr>
              <w:pStyle w:val="Compact"/>
              <w:jc w:val="left"/>
            </w:pPr>
            <w:r>
              <w:t xml:space="preserve">Man-days</w:t>
            </w:r>
          </w:p>
        </w:tc>
        <w:tc>
          <w:tcPr/>
          <w:p>
            <w:pPr>
              <w:pStyle w:val="Compact"/>
              <w:jc w:val="left"/>
            </w:pPr>
            <w:r>
              <w:t xml:space="preserve">2,800.00</w:t>
            </w:r>
          </w:p>
        </w:tc>
        <w:tc>
          <w:tcPr/>
          <w:p>
            <w:pPr>
              <w:pStyle w:val="Compact"/>
              <w:jc w:val="left"/>
            </w:pPr>
            <w:r>
              <w:t xml:space="preserve">126,000.00</w:t>
            </w:r>
          </w:p>
        </w:tc>
      </w:tr>
      <w:tr>
        <w:tc>
          <w:tcPr/>
          <w:p>
            <w:pPr>
              <w:pStyle w:val="Compact"/>
              <w:jc w:val="left"/>
            </w:pPr>
            <w:r>
              <w:t xml:space="preserve">05</w:t>
            </w:r>
          </w:p>
        </w:tc>
        <w:tc>
          <w:tcPr/>
          <w:p>
            <w:pPr>
              <w:pStyle w:val="Compact"/>
              <w:jc w:val="left"/>
            </w:pPr>
            <w:r>
              <w:t xml:space="preserve">Chemical Engineer — Training &amp; Knowledge Transfer Sessions for in-house operations team (4 sessions)</w:t>
            </w:r>
          </w:p>
        </w:tc>
        <w:tc>
          <w:tcPr/>
          <w:p>
            <w:pPr>
              <w:pStyle w:val="Compact"/>
              <w:jc w:val="left"/>
            </w:pPr>
            <w:r>
              <w:t xml:space="preserve">4</w:t>
            </w:r>
          </w:p>
        </w:tc>
        <w:tc>
          <w:tcPr/>
          <w:p>
            <w:pPr>
              <w:pStyle w:val="Compact"/>
              <w:jc w:val="left"/>
            </w:pPr>
            <w:r>
              <w:t xml:space="preserve">Sessions (8 hrs each)</w:t>
            </w:r>
          </w:p>
        </w:tc>
        <w:tc>
          <w:tcPr/>
          <w:p>
            <w:pPr>
              <w:pStyle w:val="Compact"/>
              <w:jc w:val="left"/>
            </w:pPr>
            <w:r>
              <w:t xml:space="preserve">9,500.00</w:t>
            </w:r>
          </w:p>
        </w:tc>
        <w:tc>
          <w:tcPr/>
          <w:p>
            <w:pPr>
              <w:pStyle w:val="Compact"/>
              <w:jc w:val="left"/>
            </w:pPr>
            <w:r>
              <w:t xml:space="preserve">38,000.00</w:t>
            </w:r>
          </w:p>
        </w:tc>
      </w:tr>
      <w:tr>
        <w:tc>
          <w:tcPr>
            <w:gridSpan w:val="5"/>
          </w:tcPr>
          <w:p>
            <w:pPr>
              <w:pStyle w:val="Compact"/>
              <w:jc w:val="right"/>
            </w:pPr>
            <w:r>
              <w:t xml:space="preserve">Subtotal (AED)</w:t>
            </w:r>
          </w:p>
        </w:tc>
        <w:tc>
          <w:tcPr/>
          <w:p>
            <w:pPr>
              <w:pStyle w:val="Compact"/>
              <w:jc w:val="left"/>
            </w:pPr>
            <w:r>
              <w:t xml:space="preserve">475,500.00</w:t>
            </w:r>
          </w:p>
        </w:tc>
      </w:tr>
      <w:tr>
        <w:tc>
          <w:tcPr>
            <w:gridSpan w:val="5"/>
          </w:tcPr>
          <w:p>
            <w:pPr>
              <w:pStyle w:val="Compact"/>
              <w:jc w:val="right"/>
            </w:pPr>
            <w:r>
              <w:t xml:space="preserve">VAT @ 5% (United Arab Emirates)</w:t>
            </w:r>
          </w:p>
        </w:tc>
        <w:tc>
          <w:tcPr/>
          <w:p>
            <w:pPr>
              <w:pStyle w:val="Compact"/>
              <w:jc w:val="left"/>
            </w:pPr>
            <w:r>
              <w:t xml:space="preserve">23,775.00</w:t>
            </w:r>
          </w:p>
        </w:tc>
      </w:tr>
      <w:tr>
        <w:tc>
          <w:tcPr>
            <w:gridSpan w:val="5"/>
          </w:tcPr>
          <w:p>
            <w:pPr>
              <w:pStyle w:val="Compact"/>
              <w:jc w:val="right"/>
            </w:pPr>
            <w:r>
              <w:t xml:space="preserve">GRAND TOTAL (AED)</w:t>
            </w:r>
          </w:p>
        </w:tc>
        <w:tc>
          <w:tcPr/>
          <w:p>
            <w:pPr>
              <w:pStyle w:val="Compact"/>
              <w:jc w:val="left"/>
            </w:pPr>
            <w:r>
              <w:t xml:space="preserve">499,275.00</w:t>
            </w:r>
          </w:p>
        </w:tc>
      </w:tr>
    </w:tbl>
    <w:bookmarkEnd w:id="24"/>
    <w:bookmarkStart w:id="25" w:name="delivery-performance-schedule"/>
    <w:p>
      <w:pPr>
        <w:pStyle w:val="Heading2"/>
      </w:pPr>
      <w:r>
        <w:t xml:space="preserve">5. Delivery &amp; Performance Schedule</w:t>
      </w:r>
    </w:p>
    <w:p>
      <w:pPr>
        <w:pStyle w:val="FirstParagraph"/>
      </w:pPr>
      <w:r>
        <w:t xml:space="preserve">The Chemical Engineer shall commence all services no later than 1 July 2025 at the buyer's facility in Abu Dhabi, United Arab Emirates. All deliverables, including process design packages, HAZOP reports, environmental compliance documentation, and commissioning sign-off certificates, shall be submitted in accordance with the milestone schedule attached as Annexure A to this Purchase Order. The total project duration shall not exceed one hundred and sixty-five (165) calendar days from the commencement date. Any extension of the Chemical Engineer's engagement beyond the stated period must be approved in writing by both parties and shall be subject to a revised Purchase Order amendment.</w:t>
      </w:r>
    </w:p>
    <w:bookmarkEnd w:id="25"/>
    <w:bookmarkStart w:id="26" w:name="payment-terms"/>
    <w:p>
      <w:pPr>
        <w:pStyle w:val="Heading2"/>
      </w:pPr>
      <w:r>
        <w:t xml:space="preserve">6. Payment Terms</w:t>
      </w:r>
    </w:p>
    <w:p>
      <w:pPr>
        <w:pStyle w:val="FirstParagraph"/>
      </w:pPr>
      <w:r>
        <w:t xml:space="preserve">Payment against this Purchase Order shall be made in United Arab Emirates Dirhams (AED) via bank transfer to the supplier's designated account. The payment schedule is as follows: (a) 30% advance payment upon execution of this Purchase Order; (b) 40% upon successful completion and acceptance of the process design and HAZOP deliverables; (c) 30% upon final commissioning sign-off and submission of all closing documentation. Invoices shall be submitted to the buyer's accounts payable department in Abu Dhabi and shall be paid within thirty (30) calendar days of receipt of a valid tax invoice. Late payments shall attract a penalty of 1.5% per month as per UAE commercial law.</w:t>
      </w:r>
    </w:p>
    <w:bookmarkEnd w:id="26"/>
    <w:bookmarkStart w:id="27" w:name="terms-conditions"/>
    <w:p>
      <w:pPr>
        <w:pStyle w:val="Heading2"/>
      </w:pPr>
      <w:r>
        <w:t xml:space="preserve">7. Terms &amp; Conditions</w:t>
      </w:r>
    </w:p>
    <w:p>
      <w:pPr>
        <w:pStyle w:val="FirstParagraph"/>
      </w:pPr>
      <w:r>
        <w:t xml:space="preserve">7.1 This Purchase Order is governed by and shall be construed in accordance with the laws of the United Arab Emirates, specifically the Federal Commercial Transactions Law and applicable Abu Dhabi emirate regulations.</w:t>
      </w:r>
    </w:p>
    <w:p>
      <w:pPr>
        <w:pStyle w:val="BodyText"/>
      </w:pPr>
      <w:r>
        <w:t xml:space="preserve">7.2 The Chemical Engineer engaged under this Purchase Order shall comply with all occupational health and safety standards mandated by the Abu Dhabi Occupational Safety and Health Centre (ADOSH) and shall maintain valid personal protective equipment (PPE) certification for entry into the buyer's industrial premises.</w:t>
      </w:r>
    </w:p>
    <w:p>
      <w:pPr>
        <w:pStyle w:val="BodyText"/>
      </w:pPr>
      <w:r>
        <w:t xml:space="preserve">7.3 The supplier warrants that the Chemical Engineer assigned to this Purchase Order holds all necessary professional qualifications, valid UAE work permits, and professional indemnity insurance with a minimum coverage of AED 2,000,000.</w:t>
      </w:r>
    </w:p>
    <w:p>
      <w:pPr>
        <w:pStyle w:val="BodyText"/>
      </w:pPr>
      <w:r>
        <w:t xml:space="preserve">7.4 All intellectual property, process designs, simulation files, and technical reports generated under this Purchase Order shall become the exclusive property of Abu Dhabi Industrial Processing &amp; Refining LLC upon full payment.</w:t>
      </w:r>
    </w:p>
    <w:p>
      <w:pPr>
        <w:pStyle w:val="BodyText"/>
      </w:pPr>
      <w:r>
        <w:t xml:space="preserve">7.5 The supplier shall maintain strict confidentiality regarding all proprietary process data, trade secrets, and operational parameters of the buyer's facility located in Abu Dhabi, United Arab Emirates, for a period of five (5) years following project completion.</w:t>
      </w:r>
    </w:p>
    <w:p>
      <w:pPr>
        <w:pStyle w:val="BodyText"/>
      </w:pPr>
      <w:r>
        <w:t xml:space="preserve">7.6 Disputes arising from this Purchase Order shall be resolved through arbitration in Abu Dhabi under the rules of the Abu Dhabi Global Market (ADGM) Arbitration Centre.</w:t>
      </w:r>
    </w:p>
    <w:p>
      <w:pPr>
        <w:pStyle w:val="BodyText"/>
      </w:pPr>
      <w:r>
        <w:t xml:space="preserve">7.7 This Purchase Order shall not be considered binding until signed and stamped by authorized representatives of both parties. No verbal modifications to this Purchase Order shall be valid.</w:t>
      </w:r>
    </w:p>
    <w:bookmarkEnd w:id="27"/>
    <w:bookmarkStart w:id="28" w:name="acceptance-authorization"/>
    <w:p>
      <w:pPr>
        <w:pStyle w:val="Heading2"/>
      </w:pPr>
      <w:r>
        <w:t xml:space="preserve">8. Acceptance &amp; Authorization</w:t>
      </w:r>
    </w:p>
    <w:p>
      <w:pPr>
        <w:pStyle w:val="FirstParagraph"/>
      </w:pPr>
      <w:r>
        <w:rPr>
          <w:bCs/>
          <w:b/>
        </w:rPr>
        <w:t xml:space="preserve">For and on behalf of the Buyer:</w:t>
      </w:r>
      <w:r>
        <w:br/>
      </w:r>
      <w:r>
        <w:t xml:space="preserve">Abu Dhabi Industrial Processing &amp; Refining LLC</w:t>
      </w:r>
      <w:r>
        <w:br/>
      </w:r>
      <w:r>
        <w:br/>
      </w:r>
      <w:r>
        <w:t xml:space="preserve">Name: Eng. Khalid Al Mansoori</w:t>
      </w:r>
      <w:r>
        <w:br/>
      </w:r>
      <w:r>
        <w:t xml:space="preserve">Title: Head of Procurement</w:t>
      </w:r>
      <w:r>
        <w:br/>
      </w:r>
      <w:r>
        <w:t xml:space="preserve">Signature: _________________________</w:t>
      </w:r>
      <w:r>
        <w:br/>
      </w:r>
      <w:r>
        <w:t xml:space="preserve">Date: _________________________</w:t>
      </w:r>
      <w:r>
        <w:br/>
      </w:r>
      <w:r>
        <w:t xml:space="preserve">Company Stamp:</w:t>
      </w:r>
    </w:p>
    <w:p>
      <w:pPr>
        <w:pStyle w:val="BodyText"/>
      </w:pPr>
      <w:r>
        <w:rPr>
          <w:bCs/>
          <w:b/>
        </w:rPr>
        <w:t xml:space="preserve">For and on behalf of the Seller:</w:t>
      </w:r>
      <w:r>
        <w:br/>
      </w:r>
      <w:r>
        <w:t xml:space="preserve">Gulf Petrochemical Consulting &amp; Engineering FZ-LLC</w:t>
      </w:r>
      <w:r>
        <w:br/>
      </w:r>
      <w:r>
        <w:br/>
      </w:r>
      <w:r>
        <w:t xml:space="preserve">Name: Dr. Sarah Al Farsi</w:t>
      </w:r>
      <w:r>
        <w:br/>
      </w:r>
      <w:r>
        <w:t xml:space="preserve">Title: Director of Engineering Services</w:t>
      </w:r>
      <w:r>
        <w:br/>
      </w:r>
      <w:r>
        <w:t xml:space="preserve">Signature: _________________________</w:t>
      </w:r>
      <w:r>
        <w:br/>
      </w:r>
      <w:r>
        <w:t xml:space="preserve">Date: _________________________</w:t>
      </w:r>
      <w:r>
        <w:br/>
      </w:r>
      <w:r>
        <w:t xml:space="preserve">Company Stamp:</w:t>
      </w:r>
    </w:p>
    <w:bookmarkEnd w:id="28"/>
    <w:p>
      <w:pPr>
        <w:pStyle w:val="BodyText"/>
      </w:pPr>
      <w:r>
        <w:t xml:space="preserve">This Purchase Order (PO-ADH-2025-04782) is issued for the procurement of Chemical Engineer professional services in Abu Dhabi, United Arab Emirates. All communications regarding this Purchase Order shall be directed to the procurement department at the address stated above. This document is valid for a period of thirty (30) days from the issue date. © 2025 Abu Dhabi Industrial Processing &amp; Refining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United Arab Emirates Abu Dhabi</dc:title>
  <dc:creator/>
  <dc:language>en</dc:language>
  <cp:keywords/>
  <dcterms:created xsi:type="dcterms:W3CDTF">2026-10-10T09:09:20Z</dcterms:created>
  <dcterms:modified xsi:type="dcterms:W3CDTF">2026-10-10T09:09:20Z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