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PO-2025-DXB-CE-0472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DXB-CE-2025-0091</w:t>
      </w:r>
    </w:p>
    <w:p>
      <w:pPr>
        <w:pStyle w:val="BodyText"/>
      </w:pPr>
      <w:r>
        <w:rPr>
          <w:bCs/>
          <w:b/>
        </w:rPr>
        <w:t xml:space="preserve">Location:</w:t>
      </w:r>
      <w:r>
        <w:t xml:space="preserve"> </w:t>
      </w:r>
      <w:r>
        <w:t xml:space="preserve">United Arab Emirates Dubai</w:t>
      </w:r>
    </w:p>
    <w:p>
      <w:pPr>
        <w:pStyle w:val="BodyText"/>
      </w:pPr>
      <w:r>
        <w:rPr>
          <w:bCs/>
          <w:b/>
        </w:rPr>
        <w:t xml:space="preserve">Classification:</w:t>
      </w:r>
      <w:r>
        <w:t xml:space="preserve"> </w:t>
      </w:r>
      <w:r>
        <w:t xml:space="preserve">Professional Services – Engineering</w:t>
      </w:r>
    </w:p>
    <w:bookmarkStart w:id="20"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 Noor Industrial Solutions LLC</w:t>
            </w:r>
          </w:p>
        </w:tc>
      </w:tr>
      <w:tr>
        <w:tc>
          <w:tcPr/>
          <w:p>
            <w:pPr>
              <w:pStyle w:val="Compact"/>
              <w:jc w:val="left"/>
            </w:pPr>
            <w:r>
              <w:t xml:space="preserve">Trade License No.</w:t>
            </w:r>
          </w:p>
        </w:tc>
        <w:tc>
          <w:tcPr/>
          <w:p>
            <w:pPr>
              <w:pStyle w:val="Compact"/>
              <w:jc w:val="left"/>
            </w:pPr>
            <w:r>
              <w:t xml:space="preserve">DL-2019-4487213</w:t>
            </w:r>
          </w:p>
        </w:tc>
      </w:tr>
      <w:tr>
        <w:tc>
          <w:tcPr/>
          <w:p>
            <w:pPr>
              <w:pStyle w:val="Compact"/>
              <w:jc w:val="left"/>
            </w:pPr>
            <w:r>
              <w:t xml:space="preserve">Address</w:t>
            </w:r>
          </w:p>
        </w:tc>
        <w:tc>
          <w:tcPr/>
          <w:p>
            <w:pPr>
              <w:pStyle w:val="Compact"/>
              <w:jc w:val="left"/>
            </w:pPr>
            <w:r>
              <w:t xml:space="preserve">Office 1204, Level 12, Al Futtaim Tower, Sheikh Zayed Road, United Arab Emirates Dubai, 00000</w:t>
            </w:r>
          </w:p>
        </w:tc>
      </w:tr>
      <w:tr>
        <w:tc>
          <w:tcPr/>
          <w:p>
            <w:pPr>
              <w:pStyle w:val="Compact"/>
              <w:jc w:val="left"/>
            </w:pPr>
            <w:r>
              <w:t xml:space="preserve">TRN (Tax Registration Number)</w:t>
            </w:r>
          </w:p>
        </w:tc>
        <w:tc>
          <w:tcPr/>
          <w:p>
            <w:pPr>
              <w:pStyle w:val="Compact"/>
              <w:jc w:val="left"/>
            </w:pPr>
            <w:r>
              <w:t xml:space="preserve">100212345600003</w:t>
            </w:r>
          </w:p>
        </w:tc>
      </w:tr>
      <w:tr>
        <w:tc>
          <w:tcPr/>
          <w:p>
            <w:pPr>
              <w:pStyle w:val="Compact"/>
              <w:jc w:val="left"/>
            </w:pPr>
            <w:r>
              <w:t xml:space="preserve">Contact Person</w:t>
            </w:r>
          </w:p>
        </w:tc>
        <w:tc>
          <w:tcPr/>
          <w:p>
            <w:pPr>
              <w:pStyle w:val="Compact"/>
              <w:jc w:val="left"/>
            </w:pPr>
            <w:r>
              <w:t xml:space="preserve">Mr. Khalid Al Mansoori – Procurement Director</w:t>
            </w:r>
          </w:p>
        </w:tc>
      </w:tr>
      <w:tr>
        <w:tc>
          <w:tcPr/>
          <w:p>
            <w:pPr>
              <w:pStyle w:val="Compact"/>
              <w:jc w:val="left"/>
            </w:pPr>
            <w:r>
              <w:t xml:space="preserve">Email / Phone</w:t>
            </w:r>
          </w:p>
        </w:tc>
        <w:tc>
          <w:tcPr/>
          <w:p>
            <w:pPr>
              <w:pStyle w:val="Compact"/>
              <w:jc w:val="left"/>
            </w:pPr>
            <w:r>
              <w:t xml:space="preserve">procurement@alnoorindustrial.ae / +971 4 555 8821</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Engineering &amp; Technical Consultancy FZ-LLC</w:t>
            </w:r>
          </w:p>
        </w:tc>
      </w:tr>
      <w:tr>
        <w:tc>
          <w:tcPr/>
          <w:p>
            <w:pPr>
              <w:pStyle w:val="Compact"/>
              <w:jc w:val="left"/>
            </w:pPr>
            <w:r>
              <w:t xml:space="preserve">Trade License No.</w:t>
            </w:r>
          </w:p>
        </w:tc>
        <w:tc>
          <w:tcPr/>
          <w:p>
            <w:pPr>
              <w:pStyle w:val="Compact"/>
              <w:jc w:val="left"/>
            </w:pPr>
            <w:r>
              <w:t xml:space="preserve">DL-2021-7731056</w:t>
            </w:r>
          </w:p>
        </w:tc>
      </w:tr>
      <w:tr>
        <w:tc>
          <w:tcPr/>
          <w:p>
            <w:pPr>
              <w:pStyle w:val="Compact"/>
              <w:jc w:val="left"/>
            </w:pPr>
            <w:r>
              <w:t xml:space="preserve">Address</w:t>
            </w:r>
          </w:p>
        </w:tc>
        <w:tc>
          <w:tcPr/>
          <w:p>
            <w:pPr>
              <w:pStyle w:val="Compact"/>
              <w:jc w:val="left"/>
            </w:pPr>
            <w:r>
              <w:t xml:space="preserve">Unit 34, Building 7, Dubai Internet City, United Arab Emirates Dubai, 00000</w:t>
            </w:r>
          </w:p>
        </w:tc>
      </w:tr>
      <w:tr>
        <w:tc>
          <w:tcPr/>
          <w:p>
            <w:pPr>
              <w:pStyle w:val="Compact"/>
              <w:jc w:val="left"/>
            </w:pPr>
            <w:r>
              <w:t xml:space="preserve">TRN (Tax Registration Number)</w:t>
            </w:r>
          </w:p>
        </w:tc>
        <w:tc>
          <w:tcPr/>
          <w:p>
            <w:pPr>
              <w:pStyle w:val="Compact"/>
              <w:jc w:val="left"/>
            </w:pPr>
            <w:r>
              <w:t xml:space="preserve">100398765400003</w:t>
            </w:r>
          </w:p>
        </w:tc>
      </w:tr>
      <w:tr>
        <w:tc>
          <w:tcPr/>
          <w:p>
            <w:pPr>
              <w:pStyle w:val="Compact"/>
              <w:jc w:val="left"/>
            </w:pPr>
            <w:r>
              <w:t xml:space="preserve">Contact Person</w:t>
            </w:r>
          </w:p>
        </w:tc>
        <w:tc>
          <w:tcPr/>
          <w:p>
            <w:pPr>
              <w:pStyle w:val="Compact"/>
              <w:jc w:val="left"/>
            </w:pPr>
            <w:r>
              <w:t xml:space="preserve">Dr. Sarah Al Farsi – Managing Director</w:t>
            </w:r>
          </w:p>
        </w:tc>
      </w:tr>
      <w:tr>
        <w:tc>
          <w:tcPr/>
          <w:p>
            <w:pPr>
              <w:pStyle w:val="Compact"/>
              <w:jc w:val="left"/>
            </w:pPr>
            <w:r>
              <w:t xml:space="preserve">Email / Phone</w:t>
            </w:r>
          </w:p>
        </w:tc>
        <w:tc>
          <w:tcPr/>
          <w:p>
            <w:pPr>
              <w:pStyle w:val="Compact"/>
              <w:jc w:val="left"/>
            </w:pPr>
            <w:r>
              <w:t xml:space="preserve">contracts@meridianeng.ae / +971 4 330 6644</w:t>
            </w:r>
          </w:p>
        </w:tc>
      </w:tr>
    </w:tbl>
    <w:bookmarkEnd w:id="21"/>
    <w:bookmarkStart w:id="22" w:name="Xe8dc030ed2a075ce53c1eebe6b7c4dfea61699a"/>
    <w:p>
      <w:pPr>
        <w:pStyle w:val="Heading2"/>
      </w:pPr>
      <w:r>
        <w:t xml:space="preserve">3. Scope of Purchase – Chemical Engineer Professional Services</w:t>
      </w:r>
    </w:p>
    <w:p>
      <w:pPr>
        <w:pStyle w:val="FirstParagraph"/>
      </w:pPr>
      <w:r>
        <w:t xml:space="preserve">This Purchase Order is issued by Al Noor Industrial Solutions LLC for the engagement of a qualified</w:t>
      </w:r>
      <w:r>
        <w:t xml:space="preserve"> </w:t>
      </w:r>
      <w:r>
        <w:rPr>
          <w:bCs/>
          <w:b/>
        </w:rPr>
        <w:t xml:space="preserve">Chemical Engineer</w:t>
      </w:r>
      <w:r>
        <w:t xml:space="preserve"> </w:t>
      </w:r>
      <w:r>
        <w:t xml:space="preserve">to provide specialized process design, safety assessment, and operational optimization services for the buyer's petrochemical processing facility located in the Jebel Ali Free Zone, United Arab Emirates Dubai. The Chemical Engineer shall be responsible for the following deliverables as outlined in the line items below.</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Engagement of a Senior Chemical Engineer (minimum 12 years post-qualification experience, registered with the UAE Council of Engineers) for process flow diagram (PFD) and piping and instrumentation diagram (P&amp;ID) design of a new ethylene glycol production unit.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Chemical Engineer-led Hazard and Operability (HAZOP) study for the existing reactor train, including preparation of a comprehensive risk register and mitigation action plan compliant with UAE Federal Law No. 3 of 2009 on Occupational Safety and Health.</w:t>
            </w:r>
          </w:p>
        </w:tc>
        <w:tc>
          <w:tcPr/>
          <w:p>
            <w:pPr>
              <w:pStyle w:val="Compact"/>
              <w:jc w:val="left"/>
            </w:pPr>
            <w:r>
              <w:t xml:space="preserve">1</w:t>
            </w:r>
          </w:p>
        </w:tc>
        <w:tc>
          <w:tcPr/>
          <w:p>
            <w:pPr>
              <w:pStyle w:val="Compact"/>
              <w:jc w:val="left"/>
            </w:pPr>
            <w:r>
              <w:t xml:space="preserve">Study</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03</w:t>
            </w:r>
          </w:p>
        </w:tc>
        <w:tc>
          <w:tcPr/>
          <w:p>
            <w:pPr>
              <w:pStyle w:val="Compact"/>
              <w:jc w:val="left"/>
            </w:pPr>
            <w:r>
              <w:t xml:space="preserve">Thermodynamic simulation and heat integration analysis performed by the assigned Chemical Engineer using Aspen HYSYS, covering the distillation column network and waste-heat recovery system.</w:t>
            </w:r>
          </w:p>
        </w:tc>
        <w:tc>
          <w:tcPr/>
          <w:p>
            <w:pPr>
              <w:pStyle w:val="Compact"/>
              <w:jc w:val="left"/>
            </w:pPr>
            <w:r>
              <w:t xml:space="preserve">1</w:t>
            </w:r>
          </w:p>
        </w:tc>
        <w:tc>
          <w:tcPr/>
          <w:p>
            <w:pPr>
              <w:pStyle w:val="Compact"/>
              <w:jc w:val="left"/>
            </w:pPr>
            <w:r>
              <w:t xml:space="preserve">Analysis</w:t>
            </w:r>
          </w:p>
        </w:tc>
        <w:tc>
          <w:tcPr/>
          <w:p>
            <w:pPr>
              <w:pStyle w:val="Compact"/>
              <w:jc w:val="left"/>
            </w:pPr>
            <w:r>
              <w:t xml:space="preserve">27,000.00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On-site supervision and commissioning support by the Chemical Engineer at the Jebel Ali facility, United Arab Emirates Dubai, for a period of 20 working days during the start-up phase of the new unit.</w:t>
            </w:r>
          </w:p>
        </w:tc>
        <w:tc>
          <w:tcPr/>
          <w:p>
            <w:pPr>
              <w:pStyle w:val="Compact"/>
              <w:jc w:val="left"/>
            </w:pPr>
            <w:r>
              <w:t xml:space="preserve">20</w:t>
            </w:r>
          </w:p>
        </w:tc>
        <w:tc>
          <w:tcPr/>
          <w:p>
            <w:pPr>
              <w:pStyle w:val="Compact"/>
              <w:jc w:val="left"/>
            </w:pPr>
            <w:r>
              <w:t xml:space="preserve">Days</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05</w:t>
            </w:r>
          </w:p>
        </w:tc>
        <w:tc>
          <w:tcPr/>
          <w:p>
            <w:pPr>
              <w:pStyle w:val="Compact"/>
              <w:jc w:val="left"/>
            </w:pPr>
            <w:r>
              <w:t xml:space="preserve">Preparation of a detailed Chemical Process Safety Management (PSM) manual and operator training curriculum authored and reviewed by the Chemical Engineer, aligned with OSHA 29 CFR 1910.119 and UAE Ministry of Energy and Infrastructure guidelines.</w:t>
            </w:r>
          </w:p>
        </w:tc>
        <w:tc>
          <w:tcPr/>
          <w:p>
            <w:pPr>
              <w:pStyle w:val="Compact"/>
              <w:jc w:val="left"/>
            </w:pPr>
            <w:r>
              <w:t xml:space="preserve">1</w:t>
            </w:r>
          </w:p>
        </w:tc>
        <w:tc>
          <w:tcPr/>
          <w:p>
            <w:pPr>
              <w:pStyle w:val="Compact"/>
              <w:jc w:val="left"/>
            </w:pPr>
            <w:r>
              <w:t xml:space="preserve">Manual</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Monthly progress reporting and technical liaison between the Chemical Engineer and the buyer's project management office, including attendance at bi-weekly coordination meetings in United Arab Emirates Dubai.</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21,000.00</w:t>
            </w:r>
          </w:p>
        </w:tc>
      </w:tr>
      <w:tr>
        <w:tc>
          <w:tcPr>
            <w:gridSpan w:val="5"/>
          </w:tcPr>
          <w:p>
            <w:pPr>
              <w:pStyle w:val="Compact"/>
              <w:jc w:val="right"/>
            </w:pPr>
            <w:r>
              <w:t xml:space="preserve">Subtotal</w:t>
            </w:r>
          </w:p>
        </w:tc>
        <w:tc>
          <w:tcPr/>
          <w:p>
            <w:pPr>
              <w:pStyle w:val="Compact"/>
              <w:jc w:val="left"/>
            </w:pPr>
            <w:r>
              <w:t xml:space="preserve">197,500.00</w:t>
            </w:r>
          </w:p>
        </w:tc>
      </w:tr>
      <w:tr>
        <w:tc>
          <w:tcPr>
            <w:gridSpan w:val="5"/>
          </w:tcPr>
          <w:p>
            <w:pPr>
              <w:pStyle w:val="Compact"/>
              <w:jc w:val="right"/>
            </w:pPr>
            <w:r>
              <w:t xml:space="preserve">VAT (5% – UAE Standard Rate)</w:t>
            </w:r>
          </w:p>
        </w:tc>
        <w:tc>
          <w:tcPr/>
          <w:p>
            <w:pPr>
              <w:pStyle w:val="Compact"/>
              <w:jc w:val="left"/>
            </w:pPr>
            <w:r>
              <w:t xml:space="preserve">9,875.00</w:t>
            </w:r>
          </w:p>
        </w:tc>
      </w:tr>
      <w:tr>
        <w:tc>
          <w:tcPr>
            <w:gridSpan w:val="5"/>
          </w:tcPr>
          <w:p>
            <w:pPr>
              <w:pStyle w:val="Compact"/>
              <w:jc w:val="right"/>
            </w:pPr>
            <w:r>
              <w:t xml:space="preserve">Grand Total (AED)</w:t>
            </w:r>
          </w:p>
        </w:tc>
        <w:tc>
          <w:tcPr/>
          <w:p>
            <w:pPr>
              <w:pStyle w:val="Compact"/>
              <w:jc w:val="left"/>
            </w:pPr>
            <w:r>
              <w:t xml:space="preserve">207,375.00</w:t>
            </w:r>
          </w:p>
        </w:tc>
      </w:tr>
    </w:tbl>
    <w:bookmarkEnd w:id="23"/>
    <w:bookmarkStart w:id="24" w:name="payment-terms"/>
    <w:p>
      <w:pPr>
        <w:pStyle w:val="Heading2"/>
      </w:pPr>
      <w:r>
        <w:t xml:space="preserve">5. Payment Terms</w:t>
      </w:r>
    </w:p>
    <w:p>
      <w:pPr>
        <w:pStyle w:val="FirstParagraph"/>
      </w:pPr>
      <w:r>
        <w:t xml:space="preserve">Payment shall be made in United Arab Emirates Dirhams (AED) via bank transfer to the supplier's designated account. The schedule is as follows:</w:t>
      </w:r>
    </w:p>
    <w:p>
      <w:pPr>
        <w:numPr>
          <w:ilvl w:val="0"/>
          <w:numId w:val="1001"/>
        </w:numPr>
        <w:pStyle w:val="Compact"/>
      </w:pPr>
      <w:r>
        <w:rPr>
          <w:bCs/>
          <w:b/>
        </w:rPr>
        <w:t xml:space="preserve">30% Advance Payment:</w:t>
      </w:r>
      <w:r>
        <w:t xml:space="preserve"> </w:t>
      </w:r>
      <w:r>
        <w:t xml:space="preserve">AED 62,212.50 (inclusive of VAT) within 10 business days of acceptance of this Purchase Order.</w:t>
      </w:r>
    </w:p>
    <w:p>
      <w:pPr>
        <w:numPr>
          <w:ilvl w:val="0"/>
          <w:numId w:val="1001"/>
        </w:numPr>
        <w:pStyle w:val="Compact"/>
      </w:pPr>
      <w:r>
        <w:rPr>
          <w:bCs/>
          <w:b/>
        </w:rPr>
        <w:t xml:space="preserve">40% Milestone Payment:</w:t>
      </w:r>
      <w:r>
        <w:t xml:space="preserve"> </w:t>
      </w:r>
      <w:r>
        <w:t xml:space="preserve">AED 82,950.00 (inclusive of VAT) upon successful delivery and approval of the PFD, P&amp;ID, and HAZOP study deliverables.</w:t>
      </w:r>
    </w:p>
    <w:p>
      <w:pPr>
        <w:numPr>
          <w:ilvl w:val="0"/>
          <w:numId w:val="1001"/>
        </w:numPr>
        <w:pStyle w:val="Compact"/>
      </w:pPr>
      <w:r>
        <w:rPr>
          <w:bCs/>
          <w:b/>
        </w:rPr>
        <w:t xml:space="preserve">30% Final Payment:</w:t>
      </w:r>
      <w:r>
        <w:t xml:space="preserve"> </w:t>
      </w:r>
      <w:r>
        <w:t xml:space="preserve">AED 62,212.50 (inclusive of VAT) within 15 business days of completion of commissioning support and submission of the PSM manual.</w:t>
      </w:r>
    </w:p>
    <w:p>
      <w:pPr>
        <w:pStyle w:val="FirstParagraph"/>
      </w:pPr>
      <w:r>
        <w:t xml:space="preserve">All invoices must reference this Purchase Order number (PO-2025-DXB-CE-0472) and include the supplier's TRN for VAT compliance under the UAE Federal Decree-Law No. 8 of 2017 on Value Added Tax.</w:t>
      </w:r>
    </w:p>
    <w:bookmarkEnd w:id="24"/>
    <w:bookmarkStart w:id="25" w:name="delivery-and-performance-schedule"/>
    <w:p>
      <w:pPr>
        <w:pStyle w:val="Heading2"/>
      </w:pPr>
      <w:r>
        <w:t xml:space="preserve">6.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Chemical Engineer mobilization and site familiarization</w:t>
            </w:r>
          </w:p>
        </w:tc>
        <w:tc>
          <w:tcPr/>
          <w:p>
            <w:pPr>
              <w:pStyle w:val="Compact"/>
              <w:jc w:val="left"/>
            </w:pPr>
            <w:r>
              <w:t xml:space="preserve">23 June 2025</w:t>
            </w:r>
          </w:p>
        </w:tc>
        <w:tc>
          <w:tcPr/>
          <w:p>
            <w:pPr>
              <w:pStyle w:val="Compact"/>
              <w:jc w:val="left"/>
            </w:pPr>
            <w:r>
              <w:t xml:space="preserve">Jebel Ali Free Zone, United Arab Emirates Dubai</w:t>
            </w:r>
          </w:p>
        </w:tc>
      </w:tr>
      <w:tr>
        <w:tc>
          <w:tcPr/>
          <w:p>
            <w:pPr>
              <w:pStyle w:val="Compact"/>
              <w:jc w:val="left"/>
            </w:pPr>
            <w:r>
              <w:t xml:space="preserve">Submission of PFD and P&amp;ID package</w:t>
            </w:r>
          </w:p>
        </w:tc>
        <w:tc>
          <w:tcPr/>
          <w:p>
            <w:pPr>
              <w:pStyle w:val="Compact"/>
              <w:jc w:val="left"/>
            </w:pPr>
            <w:r>
              <w:t xml:space="preserve">15 August 2025</w:t>
            </w:r>
          </w:p>
        </w:tc>
        <w:tc>
          <w:tcPr/>
          <w:p>
            <w:pPr>
              <w:pStyle w:val="Compact"/>
              <w:jc w:val="left"/>
            </w:pPr>
            <w:r>
              <w:t xml:space="preserve">United Arab Emirates Dubai</w:t>
            </w:r>
          </w:p>
        </w:tc>
      </w:tr>
      <w:tr>
        <w:tc>
          <w:tcPr/>
          <w:p>
            <w:pPr>
              <w:pStyle w:val="Compact"/>
              <w:jc w:val="left"/>
            </w:pPr>
            <w:r>
              <w:t xml:space="preserve">HAZOP study workshop and report</w:t>
            </w:r>
          </w:p>
        </w:tc>
        <w:tc>
          <w:tcPr/>
          <w:p>
            <w:pPr>
              <w:pStyle w:val="Compact"/>
              <w:jc w:val="left"/>
            </w:pPr>
            <w:r>
              <w:t xml:space="preserve">30 September 2025</w:t>
            </w:r>
          </w:p>
        </w:tc>
        <w:tc>
          <w:tcPr/>
          <w:p>
            <w:pPr>
              <w:pStyle w:val="Compact"/>
              <w:jc w:val="left"/>
            </w:pPr>
            <w:r>
              <w:t xml:space="preserve">United Arab Emirates Dubai</w:t>
            </w:r>
          </w:p>
        </w:tc>
      </w:tr>
      <w:tr>
        <w:tc>
          <w:tcPr/>
          <w:p>
            <w:pPr>
              <w:pStyle w:val="Compact"/>
              <w:jc w:val="left"/>
            </w:pPr>
            <w:r>
              <w:t xml:space="preserve">Thermodynamic simulation deliverable</w:t>
            </w:r>
          </w:p>
        </w:tc>
        <w:tc>
          <w:tcPr/>
          <w:p>
            <w:pPr>
              <w:pStyle w:val="Compact"/>
              <w:jc w:val="left"/>
            </w:pPr>
            <w:r>
              <w:t xml:space="preserve">15 October 2025</w:t>
            </w:r>
          </w:p>
        </w:tc>
        <w:tc>
          <w:tcPr/>
          <w:p>
            <w:pPr>
              <w:pStyle w:val="Compact"/>
              <w:jc w:val="left"/>
            </w:pPr>
            <w:r>
              <w:t xml:space="preserve">United Arab Emirates Dubai</w:t>
            </w:r>
          </w:p>
        </w:tc>
      </w:tr>
      <w:tr>
        <w:tc>
          <w:tcPr/>
          <w:p>
            <w:pPr>
              <w:pStyle w:val="Compact"/>
              <w:jc w:val="left"/>
            </w:pPr>
            <w:r>
              <w:t xml:space="preserve">Commissioning support (20 days)</w:t>
            </w:r>
          </w:p>
        </w:tc>
        <w:tc>
          <w:tcPr/>
          <w:p>
            <w:pPr>
              <w:pStyle w:val="Compact"/>
              <w:jc w:val="left"/>
            </w:pPr>
            <w:r>
              <w:t xml:space="preserve">1 November – 20 November 2025</w:t>
            </w:r>
          </w:p>
        </w:tc>
        <w:tc>
          <w:tcPr/>
          <w:p>
            <w:pPr>
              <w:pStyle w:val="Compact"/>
              <w:jc w:val="left"/>
            </w:pPr>
            <w:r>
              <w:t xml:space="preserve">Jebel Ali Free Zone, United Arab Emirates Dubai</w:t>
            </w:r>
          </w:p>
        </w:tc>
      </w:tr>
      <w:tr>
        <w:tc>
          <w:tcPr/>
          <w:p>
            <w:pPr>
              <w:pStyle w:val="Compact"/>
              <w:jc w:val="left"/>
            </w:pPr>
            <w:r>
              <w:t xml:space="preserve">PSM manual and training curriculum handover</w:t>
            </w:r>
          </w:p>
        </w:tc>
        <w:tc>
          <w:tcPr/>
          <w:p>
            <w:pPr>
              <w:pStyle w:val="Compact"/>
              <w:jc w:val="left"/>
            </w:pPr>
            <w:r>
              <w:t xml:space="preserve">15 December 2025</w:t>
            </w:r>
          </w:p>
        </w:tc>
        <w:tc>
          <w:tcPr/>
          <w:p>
            <w:pPr>
              <w:pStyle w:val="Compact"/>
              <w:jc w:val="left"/>
            </w:pPr>
            <w:r>
              <w:t xml:space="preserve">United Arab Emirates Dubai</w:t>
            </w:r>
          </w:p>
        </w:tc>
      </w:tr>
    </w:tbl>
    <w:bookmarkEnd w:id="25"/>
    <w:bookmarkStart w:id="26" w:name="terms-and-conditions"/>
    <w:p>
      <w:pPr>
        <w:pStyle w:val="Heading2"/>
      </w:pPr>
      <w:r>
        <w:t xml:space="preserve">7. Terms and Conditions</w:t>
      </w:r>
    </w:p>
    <w:p>
      <w:pPr>
        <w:numPr>
          <w:ilvl w:val="0"/>
          <w:numId w:val="1002"/>
        </w:numPr>
        <w:pStyle w:val="Compact"/>
      </w:pPr>
      <w:r>
        <w:t xml:space="preserve">This Purchase Order is governed by the laws of the United Arab Emirates and the specific laws and regulations of the Emirate of Dubai. Any disputes arising from this Purchase Order shall be subject to the exclusive jurisdiction of the Dubai Courts.</w:t>
      </w:r>
    </w:p>
    <w:p>
      <w:pPr>
        <w:numPr>
          <w:ilvl w:val="0"/>
          <w:numId w:val="1002"/>
        </w:numPr>
        <w:pStyle w:val="Compact"/>
      </w:pPr>
      <w:r>
        <w:t xml:space="preserve">The Chemical Engineer engaged under this Purchase Order must hold a valid professional registration with the UAE Council of Engineers and a current professional indemnity insurance certificate with a minimum coverage of AED 5,000,000.</w:t>
      </w:r>
    </w:p>
    <w:p>
      <w:pPr>
        <w:numPr>
          <w:ilvl w:val="0"/>
          <w:numId w:val="1002"/>
        </w:numPr>
        <w:pStyle w:val="Compact"/>
      </w:pPr>
      <w:r>
        <w:t xml:space="preserve">All work performed under this Purchase Order shall comply with the UAE Federal Law No. 3 of 2009 (Occupational Safety and Health), the Dubai Municipality environmental regulations, and the relevant standards of the American Society of Mechanical Engineers (ASME) and the American Petroleum Institute (API).</w:t>
      </w:r>
    </w:p>
    <w:p>
      <w:pPr>
        <w:numPr>
          <w:ilvl w:val="0"/>
          <w:numId w:val="1002"/>
        </w:numPr>
        <w:pStyle w:val="Compact"/>
      </w:pPr>
      <w:r>
        <w:t xml:space="preserve">The supplier shall not subcontract any portion of the Chemical Engineer services without prior written consent from the buyer. Any approved subcontractor must meet the same qualification and insurance requirements.</w:t>
      </w:r>
    </w:p>
    <w:p>
      <w:pPr>
        <w:numPr>
          <w:ilvl w:val="0"/>
          <w:numId w:val="1002"/>
        </w:numPr>
        <w:pStyle w:val="Compact"/>
      </w:pPr>
      <w:r>
        <w:t xml:space="preserve">Intellectual property rights in all deliverables produced under this Purchase Order shall vest exclusively in the buyer upon full payment. The Chemical Engineer and the supplier retain no ownership or licensing rights over the final designs, reports, and manuals.</w:t>
      </w:r>
    </w:p>
    <w:p>
      <w:pPr>
        <w:numPr>
          <w:ilvl w:val="0"/>
          <w:numId w:val="1002"/>
        </w:numPr>
        <w:pStyle w:val="Compact"/>
      </w:pPr>
      <w:r>
        <w:t xml:space="preserve">Confidentiality: Both parties agree to maintain strict confidentiality of all technical data, process parameters, and commercial information exchanged in connection with this Purchase Order. This obligation survives termination for a period of five (5) years.</w:t>
      </w:r>
    </w:p>
    <w:p>
      <w:pPr>
        <w:numPr>
          <w:ilvl w:val="0"/>
          <w:numId w:val="1002"/>
        </w:numPr>
        <w:pStyle w:val="Compact"/>
      </w:pPr>
      <w:r>
        <w:t xml:space="preserve">Force Majeure: Neither party shall be liable for delays caused by events beyond reasonable control, including but not limited to natural disasters, government sanctions, or public health emergencies declared in the United Arab Emirates Dubai.</w:t>
      </w:r>
    </w:p>
    <w:p>
      <w:pPr>
        <w:numPr>
          <w:ilvl w:val="0"/>
          <w:numId w:val="1002"/>
        </w:numPr>
        <w:pStyle w:val="Compact"/>
      </w:pPr>
      <w:r>
        <w:t xml:space="preserve">Termination: Either party may terminate this Purchase Order with 30 days' written notice. In the event of termination, the buyer shall pay for all services rendered up to the termination date at the rates specified in this Purchase Order.</w:t>
      </w:r>
    </w:p>
    <w:p>
      <w:pPr>
        <w:numPr>
          <w:ilvl w:val="0"/>
          <w:numId w:val="1002"/>
        </w:numPr>
        <w:pStyle w:val="Compact"/>
      </w:pPr>
      <w:r>
        <w:t xml:space="preserve">Warranty: The supplier warrants that all deliverables produced by the Chemical Engineer shall be free from material defects in design and analysis for a period of 12 months from the date of final acceptance.</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for the engagement of the Chemical Engineer in United Arab Emirates Dubai.</w:t>
      </w:r>
    </w:p>
    <w:p>
      <w:pPr>
        <w:pStyle w:val="BodyText"/>
      </w:pPr>
      <w:r>
        <w:rPr>
          <w:bCs/>
          <w:b/>
        </w:rPr>
        <w:t xml:space="preserve">For and on behalf of the Buyer:</w:t>
      </w:r>
    </w:p>
    <w:p>
      <w:pPr>
        <w:pStyle w:val="BodyText"/>
      </w:pPr>
      <w:r>
        <w:t xml:space="preserve">Al Noor Industrial Solutions LLC</w:t>
      </w:r>
    </w:p>
    <w:p>
      <w:pPr>
        <w:pStyle w:val="BodyText"/>
      </w:pPr>
      <w:r>
        <w:t xml:space="preserve">Name: ___________________________</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Meridian Engineering &amp; Technical Consultancy FZ-LLC</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_____________________________</w:t>
      </w:r>
    </w:p>
    <w:p>
      <w:pPr>
        <w:pStyle w:val="BodyText"/>
      </w:pPr>
      <w:r>
        <w:t xml:space="preserve">Company Stamp:</w:t>
      </w:r>
    </w:p>
    <w:p>
      <w:pPr>
        <w:pStyle w:val="BodyText"/>
      </w:pPr>
      <w:r>
        <w:t xml:space="preserve">— End of Purchase Order PO-2025-DXB-CE-0472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United Arab Emirates Dubai</dc:title>
  <dc:creator/>
  <dc:language>en</dc:language>
  <cp:keywords/>
  <dcterms:created xsi:type="dcterms:W3CDTF">2026-10-10T07:36:28Z</dcterms:created>
  <dcterms:modified xsi:type="dcterms:W3CDTF">2026-10-10T07:36:28Z</dcterms:modified>
</cp:coreProperties>
</file>

<file path=docProps/custom.xml><?xml version="1.0" encoding="utf-8"?>
<Properties xmlns="http://schemas.openxmlformats.org/officeDocument/2006/custom-properties" xmlns:vt="http://schemas.openxmlformats.org/officeDocument/2006/docPropsVTypes"/>
</file>