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Pharmaceutical &amp; Chemist Supply Procurement</w:t>
      </w:r>
    </w:p>
    <w:p>
      <w:pPr>
        <w:pStyle w:val="BodyText"/>
      </w:pPr>
      <w:r>
        <w:t xml:space="preserve">Issued in accordance with Brazilian commercial regulations and ANVISA compliance standards</w:t>
      </w:r>
    </w:p>
    <w:p>
      <w:pPr>
        <w:pStyle w:val="BodyText"/>
      </w:pPr>
      <w:r>
        <w:t xml:space="preserve">Location of Transaction:</w:t>
      </w:r>
      <w:r>
        <w:t xml:space="preserve"> </w:t>
      </w:r>
      <w:r>
        <w:t xml:space="preserve">Brazil, Rio de Janeiro</w:t>
      </w:r>
    </w:p>
    <w:bookmarkEnd w:id="20"/>
    <w:p>
      <w:pPr>
        <w:pStyle w:val="BodyText"/>
      </w:pPr>
      <w:r>
        <w:rPr>
          <w:bCs/>
          <w:b/>
        </w:rPr>
        <w:t xml:space="preserve">Purchase Order No.:</w:t>
      </w:r>
      <w:r>
        <w:t xml:space="preserve"> </w:t>
      </w:r>
      <w:r>
        <w:t xml:space="preserve">PO-RJ-2025-04872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 / R$)</w:t>
      </w:r>
    </w:p>
    <w:p>
      <w:pPr>
        <w:pStyle w:val="BodyText"/>
      </w:pPr>
      <w:r>
        <w:rPr>
          <w:bCs/>
          <w:b/>
        </w:rPr>
        <w:t xml:space="preserve">Incoterms:</w:t>
      </w:r>
      <w:r>
        <w:t xml:space="preserve"> </w:t>
      </w:r>
      <w:r>
        <w:t xml:space="preserve">DAP – Rio de Janeiro, RJ</w:t>
      </w:r>
    </w:p>
    <w:p>
      <w:pPr>
        <w:pStyle w:val="BodyText"/>
      </w:pPr>
      <w:r>
        <w:t xml:space="preserve">1. BUYER INFORMATION (Ordering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Farmácia Central do Rio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Av. Rio Branco, 1250 – Centro, Rio de Janeiro, RJ – CEP 20090-000, Brazil</w:t>
            </w:r>
          </w:p>
        </w:tc>
        <w:tc>
          <w:tcPr/>
          <w:p>
            <w:pPr>
              <w:pStyle w:val="Compact"/>
              <w:jc w:val="left"/>
            </w:pPr>
            <w:r>
              <w:rPr>
                <w:bCs/>
                <w:b/>
              </w:rPr>
              <w:t xml:space="preserve">Phone:</w:t>
            </w:r>
            <w:r>
              <w:t xml:space="preserve"> </w:t>
            </w:r>
            <w:r>
              <w:t xml:space="preserve">+55 (21) 3255-8800</w:t>
            </w:r>
          </w:p>
        </w:tc>
      </w:tr>
      <w:tr>
        <w:tc>
          <w:tcPr/>
          <w:p>
            <w:pPr>
              <w:pStyle w:val="Compact"/>
              <w:jc w:val="left"/>
            </w:pPr>
            <w:r>
              <w:rPr>
                <w:bCs/>
                <w:b/>
              </w:rPr>
              <w:t xml:space="preserve">Email:</w:t>
            </w:r>
            <w:r>
              <w:t xml:space="preserve"> </w:t>
            </w:r>
            <w:r>
              <w:t xml:space="preserve">compras@farmaciacentraldoRio.com.br</w:t>
            </w:r>
          </w:p>
        </w:tc>
        <w:tc>
          <w:tcPr/>
          <w:p>
            <w:pPr>
              <w:pStyle w:val="Compact"/>
              <w:jc w:val="left"/>
            </w:pPr>
            <w:r>
              <w:rPr>
                <w:bCs/>
                <w:b/>
              </w:rPr>
              <w:t xml:space="preserve">ANVISA Registration:</w:t>
            </w:r>
            <w:r>
              <w:t xml:space="preserve"> </w:t>
            </w:r>
            <w:r>
              <w:t xml:space="preserve">RJ-2025-004872</w:t>
            </w:r>
          </w:p>
        </w:tc>
      </w:tr>
    </w:tbl>
    <w:p>
      <w:pPr>
        <w:pStyle w:val="BodyText"/>
      </w:pPr>
      <w:r>
        <w:t xml:space="preserve">2. SUPPLIER / CHEMIST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 Supplier Name:</w:t>
            </w:r>
            <w:r>
              <w:t xml:space="preserve"> </w:t>
            </w:r>
            <w:r>
              <w:t xml:space="preserve">Quimica &amp; Farmaceutica Rio Sul S.A.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Rod. Washington Luís, Km 42 – Duque de Caxias, Rio de Janeiro, RJ – CEP 25070-000, Brazil</w:t>
            </w:r>
          </w:p>
        </w:tc>
        <w:tc>
          <w:tcPr/>
          <w:p>
            <w:pPr>
              <w:pStyle w:val="Compact"/>
              <w:jc w:val="left"/>
            </w:pPr>
            <w:r>
              <w:rPr>
                <w:bCs/>
                <w:b/>
              </w:rPr>
              <w:t xml:space="preserve">Phone:</w:t>
            </w:r>
            <w:r>
              <w:t xml:space="preserve"> </w:t>
            </w:r>
            <w:r>
              <w:t xml:space="preserve">+55 (21) 3677-4422</w:t>
            </w:r>
          </w:p>
        </w:tc>
      </w:tr>
      <w:tr>
        <w:tc>
          <w:tcPr/>
          <w:p>
            <w:pPr>
              <w:pStyle w:val="Compact"/>
              <w:jc w:val="left"/>
            </w:pPr>
            <w:r>
              <w:rPr>
                <w:bCs/>
                <w:b/>
              </w:rPr>
              <w:t xml:space="preserve">Contact Person:</w:t>
            </w:r>
            <w:r>
              <w:t xml:space="preserve"> </w:t>
            </w:r>
            <w:r>
              <w:t xml:space="preserve">Sr. Marcos Oliveira – Procurement Manager</w:t>
            </w:r>
          </w:p>
        </w:tc>
        <w:tc>
          <w:tcPr/>
          <w:p>
            <w:pPr>
              <w:pStyle w:val="Compact"/>
              <w:jc w:val="left"/>
            </w:pPr>
            <w:r>
              <w:rPr>
                <w:bCs/>
                <w:b/>
              </w:rPr>
              <w:t xml:space="preserve">Email:</w:t>
            </w:r>
            <w:r>
              <w:t xml:space="preserve"> </w:t>
            </w:r>
            <w:r>
              <w:t xml:space="preserve">vendas@quimicariossul.com.br</w:t>
            </w:r>
          </w:p>
        </w:tc>
      </w:tr>
    </w:tbl>
    <w:p>
      <w:pPr>
        <w:pStyle w:val="BodyText"/>
      </w:pPr>
      <w:r>
        <w:t xml:space="preserve">3. DESCRIPTION OF PURCHASE ORDER ITEMS</w:t>
      </w:r>
    </w:p>
    <w:p>
      <w:pPr>
        <w:pStyle w:val="BodyText"/>
      </w:pPr>
      <w:r>
        <w:t xml:space="preserve">This</w:t>
      </w:r>
      <w:r>
        <w:t xml:space="preserve"> </w:t>
      </w:r>
      <w:r>
        <w:t xml:space="preserve">Purchase Order</w:t>
      </w:r>
      <w:r>
        <w:t xml:space="preserve"> </w:t>
      </w:r>
      <w:r>
        <w:t xml:space="preserve">is issued by Farmácia Central do Rio Ltda. to the Chemist supplier Quimica &amp; Farmaceutica Rio Sul S.A. for the procurement of pharmaceutical raw materials, finished medicinal products, laboratory reagents, and dispensing equipment. All items listed below are intended for use in the Chemist operations located in the city of</w:t>
      </w:r>
      <w:r>
        <w:t xml:space="preserve"> </w:t>
      </w:r>
      <w:r>
        <w:t xml:space="preserve">Brazil, Rio de Janeiro</w:t>
      </w:r>
      <w:r>
        <w:t xml:space="preserve">, and must comply with all applicable ANVISA (Agência Nacional de Vigilância Sanitária) regulations, state health authority requirements of Rio de Janeiro, and municipal pharmacy licensing conditions.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Paracetamol 500 mg tablets – 1,000 tablets per blister, 10 blisters per box (ANVISA-registered)</w:t>
            </w:r>
          </w:p>
        </w:tc>
        <w:tc>
          <w:tcPr/>
          <w:p>
            <w:pPr>
              <w:pStyle w:val="Compact"/>
              <w:jc w:val="left"/>
            </w:pPr>
            <w:r>
              <w:t xml:space="preserve">Box</w:t>
            </w:r>
          </w:p>
        </w:tc>
        <w:tc>
          <w:tcPr/>
          <w:p>
            <w:pPr>
              <w:pStyle w:val="Compact"/>
              <w:jc w:val="left"/>
            </w:pPr>
            <w:r>
              <w:t xml:space="preserve">500</w:t>
            </w:r>
          </w:p>
        </w:tc>
        <w:tc>
          <w:tcPr/>
          <w:p>
            <w:pPr>
              <w:pStyle w:val="Compact"/>
              <w:jc w:val="left"/>
            </w:pPr>
            <w:r>
              <w:t xml:space="preserve">R$ 18.50</w:t>
            </w:r>
          </w:p>
        </w:tc>
        <w:tc>
          <w:tcPr/>
          <w:p>
            <w:pPr>
              <w:pStyle w:val="Compact"/>
              <w:jc w:val="left"/>
            </w:pPr>
            <w:r>
              <w:t xml:space="preserve">R$ 9,250.00</w:t>
            </w:r>
          </w:p>
        </w:tc>
      </w:tr>
      <w:tr>
        <w:tc>
          <w:tcPr/>
          <w:p>
            <w:pPr>
              <w:pStyle w:val="Compact"/>
              <w:jc w:val="left"/>
            </w:pPr>
            <w:r>
              <w:t xml:space="preserve">02</w:t>
            </w:r>
          </w:p>
        </w:tc>
        <w:tc>
          <w:tcPr/>
          <w:p>
            <w:pPr>
              <w:pStyle w:val="Compact"/>
              <w:jc w:val="left"/>
            </w:pPr>
            <w:r>
              <w:t xml:space="preserve">Ibuprofen 400 mg capsules – 30 capsules per bottle (ANVISA-registered)</w:t>
            </w:r>
          </w:p>
        </w:tc>
        <w:tc>
          <w:tcPr/>
          <w:p>
            <w:pPr>
              <w:pStyle w:val="Compact"/>
              <w:jc w:val="left"/>
            </w:pPr>
            <w:r>
              <w:t xml:space="preserve">Bottle</w:t>
            </w:r>
          </w:p>
        </w:tc>
        <w:tc>
          <w:tcPr/>
          <w:p>
            <w:pPr>
              <w:pStyle w:val="Compact"/>
              <w:jc w:val="left"/>
            </w:pPr>
            <w:r>
              <w:t xml:space="preserve">300</w:t>
            </w:r>
          </w:p>
        </w:tc>
        <w:tc>
          <w:tcPr/>
          <w:p>
            <w:pPr>
              <w:pStyle w:val="Compact"/>
              <w:jc w:val="left"/>
            </w:pPr>
            <w:r>
              <w:t xml:space="preserve">R$ 22.80</w:t>
            </w:r>
          </w:p>
        </w:tc>
        <w:tc>
          <w:tcPr/>
          <w:p>
            <w:pPr>
              <w:pStyle w:val="Compact"/>
              <w:jc w:val="left"/>
            </w:pPr>
            <w:r>
              <w:t xml:space="preserve">R$ 6,840.00</w:t>
            </w:r>
          </w:p>
        </w:tc>
      </w:tr>
      <w:tr>
        <w:tc>
          <w:tcPr/>
          <w:p>
            <w:pPr>
              <w:pStyle w:val="Compact"/>
              <w:jc w:val="left"/>
            </w:pPr>
            <w:r>
              <w:t xml:space="preserve">03</w:t>
            </w:r>
          </w:p>
        </w:tc>
        <w:tc>
          <w:tcPr/>
          <w:p>
            <w:pPr>
              <w:pStyle w:val="Compact"/>
              <w:jc w:val="left"/>
            </w:pPr>
            <w:r>
              <w:t xml:space="preserve">Amoxicillin 500 mg capsules – 21 capsules per box (prescription-only, ANVISA-registered)</w:t>
            </w:r>
          </w:p>
        </w:tc>
        <w:tc>
          <w:tcPr/>
          <w:p>
            <w:pPr>
              <w:pStyle w:val="Compact"/>
              <w:jc w:val="left"/>
            </w:pPr>
            <w:r>
              <w:t xml:space="preserve">Box</w:t>
            </w:r>
          </w:p>
        </w:tc>
        <w:tc>
          <w:tcPr/>
          <w:p>
            <w:pPr>
              <w:pStyle w:val="Compact"/>
              <w:jc w:val="left"/>
            </w:pPr>
            <w:r>
              <w:t xml:space="preserve">200</w:t>
            </w:r>
          </w:p>
        </w:tc>
        <w:tc>
          <w:tcPr/>
          <w:p>
            <w:pPr>
              <w:pStyle w:val="Compact"/>
              <w:jc w:val="left"/>
            </w:pPr>
            <w:r>
              <w:t xml:space="preserve">R$ 34.60</w:t>
            </w:r>
          </w:p>
        </w:tc>
        <w:tc>
          <w:tcPr/>
          <w:p>
            <w:pPr>
              <w:pStyle w:val="Compact"/>
              <w:jc w:val="left"/>
            </w:pPr>
            <w:r>
              <w:t xml:space="preserve">R$ 6,920.00</w:t>
            </w:r>
          </w:p>
        </w:tc>
      </w:tr>
      <w:tr>
        <w:tc>
          <w:tcPr/>
          <w:p>
            <w:pPr>
              <w:pStyle w:val="Compact"/>
              <w:jc w:val="left"/>
            </w:pPr>
            <w:r>
              <w:t xml:space="preserve">04</w:t>
            </w:r>
          </w:p>
        </w:tc>
        <w:tc>
          <w:tcPr/>
          <w:p>
            <w:pPr>
              <w:pStyle w:val="Compact"/>
              <w:jc w:val="left"/>
            </w:pPr>
            <w:r>
              <w:t xml:space="preserve">Sodium Chloride 0.9% IV solution – 500 mL bags (sterile, for hospital and Chemist dispensing)</w:t>
            </w:r>
          </w:p>
        </w:tc>
        <w:tc>
          <w:tcPr/>
          <w:p>
            <w:pPr>
              <w:pStyle w:val="Compact"/>
              <w:jc w:val="left"/>
            </w:pPr>
            <w:r>
              <w:t xml:space="preserve">Bag</w:t>
            </w:r>
          </w:p>
        </w:tc>
        <w:tc>
          <w:tcPr/>
          <w:p>
            <w:pPr>
              <w:pStyle w:val="Compact"/>
              <w:jc w:val="left"/>
            </w:pPr>
            <w:r>
              <w:t xml:space="preserve">1,000</w:t>
            </w:r>
          </w:p>
        </w:tc>
        <w:tc>
          <w:tcPr/>
          <w:p>
            <w:pPr>
              <w:pStyle w:val="Compact"/>
              <w:jc w:val="left"/>
            </w:pPr>
            <w:r>
              <w:t xml:space="preserve">R$ 8.75</w:t>
            </w:r>
          </w:p>
        </w:tc>
        <w:tc>
          <w:tcPr/>
          <w:p>
            <w:pPr>
              <w:pStyle w:val="Compact"/>
              <w:jc w:val="left"/>
            </w:pPr>
            <w:r>
              <w:t xml:space="preserve">R$ 8,750.00</w:t>
            </w:r>
          </w:p>
        </w:tc>
      </w:tr>
      <w:tr>
        <w:tc>
          <w:tcPr/>
          <w:p>
            <w:pPr>
              <w:pStyle w:val="Compact"/>
              <w:jc w:val="left"/>
            </w:pPr>
            <w:r>
              <w:t xml:space="preserve">05</w:t>
            </w:r>
          </w:p>
        </w:tc>
        <w:tc>
          <w:tcPr/>
          <w:p>
            <w:pPr>
              <w:pStyle w:val="Compact"/>
              <w:jc w:val="left"/>
            </w:pPr>
            <w:r>
              <w:t xml:space="preserve">Pharmaceutical-grade ethanol 96% – 5 L industrial bottles (for Chemist compounding and antiseptic preparation)</w:t>
            </w:r>
          </w:p>
        </w:tc>
        <w:tc>
          <w:tcPr/>
          <w:p>
            <w:pPr>
              <w:pStyle w:val="Compact"/>
              <w:jc w:val="left"/>
            </w:pPr>
            <w:r>
              <w:t xml:space="preserve">Bottle</w:t>
            </w:r>
          </w:p>
        </w:tc>
        <w:tc>
          <w:tcPr/>
          <w:p>
            <w:pPr>
              <w:pStyle w:val="Compact"/>
              <w:jc w:val="left"/>
            </w:pPr>
            <w:r>
              <w:t xml:space="preserve">80</w:t>
            </w:r>
          </w:p>
        </w:tc>
        <w:tc>
          <w:tcPr/>
          <w:p>
            <w:pPr>
              <w:pStyle w:val="Compact"/>
              <w:jc w:val="left"/>
            </w:pPr>
            <w:r>
              <w:t xml:space="preserve">R$ 62.00</w:t>
            </w:r>
          </w:p>
        </w:tc>
        <w:tc>
          <w:tcPr/>
          <w:p>
            <w:pPr>
              <w:pStyle w:val="Compact"/>
              <w:jc w:val="left"/>
            </w:pPr>
            <w:r>
              <w:t xml:space="preserve">R$ 4,960.00</w:t>
            </w:r>
          </w:p>
        </w:tc>
      </w:tr>
      <w:tr>
        <w:tc>
          <w:tcPr/>
          <w:p>
            <w:pPr>
              <w:pStyle w:val="Compact"/>
              <w:jc w:val="left"/>
            </w:pPr>
            <w:r>
              <w:t xml:space="preserve">06</w:t>
            </w:r>
          </w:p>
        </w:tc>
        <w:tc>
          <w:tcPr/>
          <w:p>
            <w:pPr>
              <w:pStyle w:val="Compact"/>
              <w:jc w:val="left"/>
            </w:pPr>
            <w:r>
              <w:t xml:space="preserve">Pharmaceutical balance (precision 0.001 g) – for Chemist laboratory compounding room</w:t>
            </w:r>
          </w:p>
        </w:tc>
        <w:tc>
          <w:tcPr/>
          <w:p>
            <w:pPr>
              <w:pStyle w:val="Compact"/>
              <w:jc w:val="left"/>
            </w:pPr>
            <w:r>
              <w:t xml:space="preserve">Unit</w:t>
            </w:r>
          </w:p>
        </w:tc>
        <w:tc>
          <w:tcPr/>
          <w:p>
            <w:pPr>
              <w:pStyle w:val="Compact"/>
              <w:jc w:val="left"/>
            </w:pPr>
            <w:r>
              <w:t xml:space="preserve">2</w:t>
            </w:r>
          </w:p>
        </w:tc>
        <w:tc>
          <w:tcPr/>
          <w:p>
            <w:pPr>
              <w:pStyle w:val="Compact"/>
              <w:jc w:val="left"/>
            </w:pPr>
            <w:r>
              <w:t xml:space="preserve">R$ 4,850.00</w:t>
            </w:r>
          </w:p>
        </w:tc>
        <w:tc>
          <w:tcPr/>
          <w:p>
            <w:pPr>
              <w:pStyle w:val="Compact"/>
              <w:jc w:val="left"/>
            </w:pPr>
            <w:r>
              <w:t xml:space="preserve">R$ 9,700.00</w:t>
            </w:r>
          </w:p>
        </w:tc>
      </w:tr>
      <w:tr>
        <w:tc>
          <w:tcPr/>
          <w:p>
            <w:pPr>
              <w:pStyle w:val="Compact"/>
              <w:jc w:val="left"/>
            </w:pPr>
            <w:r>
              <w:t xml:space="preserve">07</w:t>
            </w:r>
          </w:p>
        </w:tc>
        <w:tc>
          <w:tcPr/>
          <w:p>
            <w:pPr>
              <w:pStyle w:val="Compact"/>
              <w:jc w:val="left"/>
            </w:pPr>
            <w:r>
              <w:t xml:space="preserve">Pharmacy refrigeration unit (2–8 °C, 400 L capacity) – for storage of temperature-sensitive medicines</w:t>
            </w:r>
          </w:p>
        </w:tc>
        <w:tc>
          <w:tcPr/>
          <w:p>
            <w:pPr>
              <w:pStyle w:val="Compact"/>
              <w:jc w:val="left"/>
            </w:pPr>
            <w:r>
              <w:t xml:space="preserve">Unit</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08</w:t>
            </w:r>
          </w:p>
        </w:tc>
        <w:tc>
          <w:tcPr/>
          <w:p>
            <w:pPr>
              <w:pStyle w:val="Compact"/>
              <w:jc w:val="left"/>
            </w:pPr>
            <w:r>
              <w:t xml:space="preserve">Pharmaceutical packaging materials – child-resistant bottles, labels, and blister foil (assorted, 6-month supply)</w:t>
            </w:r>
          </w:p>
        </w:tc>
        <w:tc>
          <w:tcPr/>
          <w:p>
            <w:pPr>
              <w:pStyle w:val="Compact"/>
              <w:jc w:val="left"/>
            </w:pPr>
            <w:r>
              <w:t xml:space="preserve">Lot</w:t>
            </w:r>
          </w:p>
        </w:tc>
        <w:tc>
          <w:tcPr/>
          <w:p>
            <w:pPr>
              <w:pStyle w:val="Compact"/>
              <w:jc w:val="left"/>
            </w:pPr>
            <w:r>
              <w:t xml:space="preserve">1</w:t>
            </w:r>
          </w:p>
        </w:tc>
        <w:tc>
          <w:tcPr/>
          <w:p>
            <w:pPr>
              <w:pStyle w:val="Compact"/>
              <w:jc w:val="left"/>
            </w:pPr>
            <w:r>
              <w:t xml:space="preserve">R$ 7,320.00</w:t>
            </w:r>
          </w:p>
        </w:tc>
        <w:tc>
          <w:tcPr/>
          <w:p>
            <w:pPr>
              <w:pStyle w:val="Compact"/>
              <w:jc w:val="left"/>
            </w:pPr>
            <w:r>
              <w:t xml:space="preserve">R$ 7,320.00</w:t>
            </w:r>
          </w:p>
        </w:tc>
      </w:tr>
      <w:tr>
        <w:tc>
          <w:tcPr/>
          <w:p>
            <w:pPr>
              <w:pStyle w:val="Compact"/>
              <w:jc w:val="left"/>
            </w:pPr>
            <w:r>
              <w:t xml:space="preserve">09</w:t>
            </w:r>
          </w:p>
        </w:tc>
        <w:tc>
          <w:tcPr/>
          <w:p>
            <w:pPr>
              <w:pStyle w:val="Compact"/>
              <w:jc w:val="left"/>
            </w:pPr>
            <w:r>
              <w:t xml:space="preserve">Personal protective equipment (PPE) for Chemist staff – nitrile gloves, lab coats, face shields (12-month supply)</w:t>
            </w:r>
          </w:p>
        </w:tc>
        <w:tc>
          <w:tcPr/>
          <w:p>
            <w:pPr>
              <w:pStyle w:val="Compact"/>
              <w:jc w:val="left"/>
            </w:pPr>
            <w:r>
              <w:t xml:space="preserve">Set</w:t>
            </w:r>
          </w:p>
        </w:tc>
        <w:tc>
          <w:tcPr/>
          <w:p>
            <w:pPr>
              <w:pStyle w:val="Compact"/>
              <w:jc w:val="left"/>
            </w:pPr>
            <w:r>
              <w:t xml:space="preserve">25</w:t>
            </w:r>
          </w:p>
        </w:tc>
        <w:tc>
          <w:tcPr/>
          <w:p>
            <w:pPr>
              <w:pStyle w:val="Compact"/>
              <w:jc w:val="left"/>
            </w:pPr>
            <w:r>
              <w:t xml:space="preserve">R$ 145.00</w:t>
            </w:r>
          </w:p>
        </w:tc>
        <w:tc>
          <w:tcPr/>
          <w:p>
            <w:pPr>
              <w:pStyle w:val="Compact"/>
              <w:jc w:val="left"/>
            </w:pPr>
            <w:r>
              <w:t xml:space="preserve">R$ 3,625.00</w:t>
            </w:r>
          </w:p>
        </w:tc>
      </w:tr>
      <w:tr>
        <w:tc>
          <w:tcPr/>
          <w:p>
            <w:pPr>
              <w:pStyle w:val="Compact"/>
              <w:jc w:val="left"/>
            </w:pPr>
            <w:r>
              <w:t xml:space="preserve">10</w:t>
            </w:r>
          </w:p>
        </w:tc>
        <w:tc>
          <w:tcPr/>
          <w:p>
            <w:pPr>
              <w:pStyle w:val="Compact"/>
              <w:jc w:val="left"/>
            </w:pPr>
            <w:r>
              <w:t xml:space="preserve">Pharmaceutical waste disposal containers (biohazard-rated, 60 L) – for Chemist back-office compliance</w:t>
            </w:r>
          </w:p>
        </w:tc>
        <w:tc>
          <w:tcPr/>
          <w:p>
            <w:pPr>
              <w:pStyle w:val="Compact"/>
              <w:jc w:val="left"/>
            </w:pPr>
            <w:r>
              <w:t xml:space="preserve">Unit</w:t>
            </w:r>
          </w:p>
        </w:tc>
        <w:tc>
          <w:tcPr/>
          <w:p>
            <w:pPr>
              <w:pStyle w:val="Compact"/>
              <w:jc w:val="left"/>
            </w:pPr>
            <w:r>
              <w:t xml:space="preserve">6</w:t>
            </w:r>
          </w:p>
        </w:tc>
        <w:tc>
          <w:tcPr/>
          <w:p>
            <w:pPr>
              <w:pStyle w:val="Compact"/>
              <w:jc w:val="left"/>
            </w:pPr>
            <w:r>
              <w:t xml:space="preserve">R$ 380.00</w:t>
            </w:r>
          </w:p>
        </w:tc>
        <w:tc>
          <w:tcPr/>
          <w:p>
            <w:pPr>
              <w:pStyle w:val="Compact"/>
              <w:jc w:val="left"/>
            </w:pPr>
            <w:r>
              <w:t xml:space="preserve">R$ 2,280.00</w:t>
            </w:r>
          </w:p>
        </w:tc>
      </w:tr>
      <w:tr>
        <w:tc>
          <w:tcPr>
            <w:gridSpan w:val="5"/>
          </w:tcPr>
          <w:p>
            <w:pPr>
              <w:pStyle w:val="Compact"/>
              <w:jc w:val="right"/>
            </w:pPr>
            <w:r>
              <w:t xml:space="preserve">SUBTOTAL</w:t>
            </w:r>
          </w:p>
        </w:tc>
        <w:tc>
          <w:tcPr/>
          <w:p>
            <w:pPr>
              <w:pStyle w:val="Compact"/>
              <w:jc w:val="left"/>
            </w:pPr>
            <w:r>
              <w:t xml:space="preserve">R$ 72,045.00</w:t>
            </w:r>
          </w:p>
        </w:tc>
      </w:tr>
      <w:tr>
        <w:tc>
          <w:tcPr>
            <w:gridSpan w:val="5"/>
          </w:tcPr>
          <w:p>
            <w:pPr>
              <w:pStyle w:val="Compact"/>
              <w:jc w:val="right"/>
            </w:pPr>
            <w:r>
              <w:t xml:space="preserve">ICMS (18% – Rio de Janeiro State Tax)</w:t>
            </w:r>
          </w:p>
        </w:tc>
        <w:tc>
          <w:tcPr/>
          <w:p>
            <w:pPr>
              <w:pStyle w:val="Compact"/>
              <w:jc w:val="left"/>
            </w:pPr>
            <w:r>
              <w:t xml:space="preserve">R$ 12,968.10</w:t>
            </w:r>
          </w:p>
        </w:tc>
      </w:tr>
      <w:tr>
        <w:tc>
          <w:tcPr>
            <w:gridSpan w:val="5"/>
          </w:tcPr>
          <w:p>
            <w:pPr>
              <w:pStyle w:val="Compact"/>
              <w:jc w:val="right"/>
            </w:pPr>
            <w:r>
              <w:t xml:space="preserve">FREIGHT &amp; INSURANCE (within Rio de Janeiro metropolitan area)</w:t>
            </w:r>
          </w:p>
        </w:tc>
        <w:tc>
          <w:tcPr/>
          <w:p>
            <w:pPr>
              <w:pStyle w:val="Compact"/>
              <w:jc w:val="left"/>
            </w:pPr>
            <w:r>
              <w:t xml:space="preserve">R$ 1,850.00</w:t>
            </w:r>
          </w:p>
        </w:tc>
      </w:tr>
      <w:tr>
        <w:tc>
          <w:tcPr>
            <w:gridSpan w:val="5"/>
          </w:tcPr>
          <w:p>
            <w:pPr>
              <w:pStyle w:val="Compact"/>
              <w:jc w:val="right"/>
            </w:pPr>
            <w:r>
              <w:t xml:space="preserve">GRAND TOTAL (BRL)</w:t>
            </w:r>
          </w:p>
        </w:tc>
        <w:tc>
          <w:tcPr/>
          <w:p>
            <w:pPr>
              <w:pStyle w:val="Compact"/>
              <w:jc w:val="left"/>
            </w:pPr>
            <w:r>
              <w:t xml:space="preserve">R$ 86,863.10</w:t>
            </w:r>
          </w:p>
        </w:tc>
      </w:tr>
    </w:tbl>
    <w:p>
      <w:pPr>
        <w:pStyle w:val="BodyText"/>
      </w:pPr>
      <w:r>
        <w:t xml:space="preserve">4. TERMS AND CONDITIONS OF THIS PURCHASE ORDER</w:t>
      </w:r>
    </w:p>
    <w:p>
      <w:pPr>
        <w:numPr>
          <w:ilvl w:val="0"/>
          <w:numId w:val="1001"/>
        </w:numPr>
        <w:pStyle w:val="Compact"/>
      </w:pPr>
      <w:r>
        <w:rPr>
          <w:bCs/>
          <w:b/>
        </w:rPr>
        <w:t xml:space="preserve">Compliance:</w:t>
      </w:r>
      <w:r>
        <w:t xml:space="preserve"> </w:t>
      </w:r>
      <w:r>
        <w:t xml:space="preserve">All pharmaceutical products and Chemist supplies listed in this Purchase Order must be registered with ANVISA and carry valid lot numbers, manufacturing dates, and expiry dates. The Chemist supplier shall provide certificates of analysis (CoA) for every batch delivered to the buyer's facility in Rio de Janeiro, Brazil.</w:t>
      </w:r>
    </w:p>
    <w:p>
      <w:pPr>
        <w:numPr>
          <w:ilvl w:val="0"/>
          <w:numId w:val="1001"/>
        </w:numPr>
        <w:pStyle w:val="Compact"/>
      </w:pPr>
      <w:r>
        <w:rPr>
          <w:bCs/>
          <w:b/>
        </w:rPr>
        <w:t xml:space="preserve">Delivery:</w:t>
      </w:r>
      <w:r>
        <w:t xml:space="preserve"> </w:t>
      </w:r>
      <w:r>
        <w:t xml:space="preserve">The Chemist supplier shall deliver all items to the buyer's premises at Av. Rio Branco, 1250 – Centro, Rio de Janeiro, RJ, no later than 28 June 2025. Delivery shall be made during business hours (08:00–18:00 BRT). The supplier is responsible for all transportation, handling, and insurance of goods until they are received and inspected at the buyer's Chemist facility in Rio de Janeiro.</w:t>
      </w:r>
    </w:p>
    <w:p>
      <w:pPr>
        <w:numPr>
          <w:ilvl w:val="0"/>
          <w:numId w:val="1001"/>
        </w:numPr>
        <w:pStyle w:val="Compact"/>
      </w:pPr>
      <w:r>
        <w:rPr>
          <w:bCs/>
          <w:b/>
        </w:rPr>
        <w:t xml:space="preserve">Temperature Control:</w:t>
      </w:r>
      <w:r>
        <w:t xml:space="preserve"> </w:t>
      </w:r>
      <w:r>
        <w:t xml:space="preserve">Temperature-sensitive items (Items 04 and 07) must be transported in validated cold-chain equipment maintaining 2–8 °C throughout transit within the Rio de Janeiro metropolitan area. A continuous temperature log must accompany each shipment.</w:t>
      </w:r>
    </w:p>
    <w:p>
      <w:pPr>
        <w:numPr>
          <w:ilvl w:val="0"/>
          <w:numId w:val="1001"/>
        </w:numPr>
        <w:pStyle w:val="Compact"/>
      </w:pPr>
      <w:r>
        <w:rPr>
          <w:bCs/>
          <w:b/>
        </w:rPr>
        <w:t xml:space="preserve">Inspection &amp; Acceptance:</w:t>
      </w:r>
      <w:r>
        <w:t xml:space="preserve"> </w:t>
      </w:r>
      <w:r>
        <w:t xml:space="preserve">The buyer's quality assurance team at the Chemist facility shall inspect all goods within 48 hours of delivery. Any damaged, expired, or non-conforming items shall be rejected and returned at the Chemist supplier's expense. The buyer reserves the right to withhold payment for rejected items.</w:t>
      </w:r>
    </w:p>
    <w:p>
      <w:pPr>
        <w:numPr>
          <w:ilvl w:val="0"/>
          <w:numId w:val="1001"/>
        </w:numPr>
        <w:pStyle w:val="Compact"/>
      </w:pPr>
      <w:r>
        <w:rPr>
          <w:bCs/>
          <w:b/>
        </w:rPr>
        <w:t xml:space="preserve">Payment:</w:t>
      </w:r>
      <w:r>
        <w:t xml:space="preserve"> </w:t>
      </w:r>
      <w:r>
        <w:t xml:space="preserve">Payment of the full amount of R$ 86,863.10 (eighty-six thousand, eight hundred and sixty-three reais and ten centavos) shall be made via bank transfer (TED/PIX) within 30 calendar days from the date of invoice issuance, provided all goods have been accepted. The buyer's bank account details are on file with the Chemist supplier.</w:t>
      </w:r>
    </w:p>
    <w:p>
      <w:pPr>
        <w:numPr>
          <w:ilvl w:val="0"/>
          <w:numId w:val="1001"/>
        </w:numPr>
        <w:pStyle w:val="Compact"/>
      </w:pPr>
      <w:r>
        <w:rPr>
          <w:bCs/>
          <w:b/>
        </w:rPr>
        <w:t xml:space="preserve">Warranty:</w:t>
      </w:r>
      <w:r>
        <w:t xml:space="preserve"> </w:t>
      </w:r>
      <w:r>
        <w:t xml:space="preserve">The Chemist supplier warrants that all equipment (Items 06 and 07) shall carry a minimum 12-month manufacturer's warranty. Pharmaceutical products shall be delivered with a minimum of 18 months remaining shelf life at the time of delivery to Rio de Janeiro.</w:t>
      </w:r>
    </w:p>
    <w:p>
      <w:pPr>
        <w:numPr>
          <w:ilvl w:val="0"/>
          <w:numId w:val="1001"/>
        </w:numPr>
        <w:pStyle w:val="Compact"/>
      </w:pPr>
      <w:r>
        <w:rPr>
          <w:bCs/>
          <w:b/>
        </w:rPr>
        <w:t xml:space="preserve">Regulatory Responsibility:</w:t>
      </w:r>
      <w:r>
        <w:t xml:space="preserve"> </w:t>
      </w:r>
      <w:r>
        <w:t xml:space="preserve">The Chemist supplier confirms that all products comply with Brazilian Federal Law No. 6.360/1976, ANVISA RDC No. 658/2022, and the Rio de Janeiro State Health Department (SES-RJ) regulations governing the sale and distribution of pharmaceutical products. The buyer's Chemist license (Alvará Sanitário) for the Rio de Janeiro municipality is current and valid.</w:t>
      </w:r>
    </w:p>
    <w:p>
      <w:pPr>
        <w:numPr>
          <w:ilvl w:val="0"/>
          <w:numId w:val="1001"/>
        </w:numPr>
        <w:pStyle w:val="Compact"/>
      </w:pPr>
      <w:r>
        <w:rPr>
          <w:bCs/>
          <w:b/>
        </w:rPr>
        <w:t xml:space="preserve">Confidentiality:</w:t>
      </w:r>
      <w:r>
        <w:t xml:space="preserve"> </w:t>
      </w:r>
      <w:r>
        <w:t xml:space="preserve">Both parties agree to maintain confidentiality regarding pricing, quantities, and commercial terms contained in this Purchase Order. No information shall be disclosed to third parties without prior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Rio de Janeiro, State of Rio de Janeiro, Brazil.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Rio de Janeiro region.</w:t>
      </w:r>
    </w:p>
    <w:p>
      <w:pPr>
        <w:pStyle w:val="FirstParagraph"/>
      </w:pPr>
      <w:r>
        <w:t xml:space="preserve">5. AUTHORIZED SIGNATURES</w:t>
      </w:r>
    </w:p>
    <w:p>
      <w:pPr>
        <w:pStyle w:val="BodyText"/>
      </w:pPr>
      <w:r>
        <w:rPr>
          <w:bCs/>
          <w:b/>
        </w:rPr>
        <w:t xml:space="preserve">For the Buyer (Farmácia Central do Rio Ltda.):</w:t>
      </w:r>
    </w:p>
    <w:p>
      <w:pPr>
        <w:pStyle w:val="BodyText"/>
      </w:pPr>
      <w:r>
        <w:t xml:space="preserve">Name: Dra. Helena Santos</w:t>
      </w:r>
    </w:p>
    <w:p>
      <w:pPr>
        <w:pStyle w:val="BodyText"/>
      </w:pPr>
      <w:r>
        <w:t xml:space="preserve">Title: Pharmacy Director / Responsável Técnico</w:t>
      </w:r>
    </w:p>
    <w:p>
      <w:pPr>
        <w:pStyle w:val="BodyText"/>
      </w:pPr>
      <w:r>
        <w:t xml:space="preserve">Signature: ___________________________</w:t>
      </w:r>
    </w:p>
    <w:p>
      <w:pPr>
        <w:pStyle w:val="BodyText"/>
      </w:pPr>
      <w:r>
        <w:t xml:space="preserve">Date: 14/06/2025</w:t>
      </w:r>
    </w:p>
    <w:p>
      <w:pPr>
        <w:pStyle w:val="BodyText"/>
      </w:pPr>
      <w:r>
        <w:rPr>
          <w:bCs/>
          <w:b/>
        </w:rPr>
        <w:t xml:space="preserve">For the Chemist Supplier (Quimica &amp; Farmaceutica Rio Sul S.A.):</w:t>
      </w:r>
    </w:p>
    <w:p>
      <w:pPr>
        <w:pStyle w:val="BodyText"/>
      </w:pPr>
      <w:r>
        <w:t xml:space="preserve">Name: Sr. Marcos Oliveira</w:t>
      </w:r>
    </w:p>
    <w:p>
      <w:pPr>
        <w:pStyle w:val="BodyText"/>
      </w:pPr>
      <w:r>
        <w:t xml:space="preserve">Title: Procurement Manager</w:t>
      </w:r>
    </w:p>
    <w:p>
      <w:pPr>
        <w:pStyle w:val="BodyText"/>
      </w:pPr>
      <w:r>
        <w:t xml:space="preserve">Signature: ___________________________</w:t>
      </w:r>
    </w:p>
    <w:p>
      <w:pPr>
        <w:pStyle w:val="BodyText"/>
      </w:pPr>
      <w:r>
        <w:t xml:space="preserve">Date: 14/06/2025</w:t>
      </w:r>
    </w:p>
    <w:p>
      <w:pPr>
        <w:pStyle w:val="BodyText"/>
      </w:pPr>
      <w:r>
        <w:t xml:space="preserve">This Purchase Order (PO-RJ-2025-04872) is a legally binding document issued in the city of Rio de Janeiro, State of Rio de Janeiro, Federative Republic of Brazil. It governs the procurement of Chemist and pharmaceutical supplies between the parties identified herein. All communications regarding this Purchase Order shall be directed to the addresses listed above. This document is valid for 60 days from the date of issue.</w:t>
      </w:r>
    </w:p>
    <w:p>
      <w:pPr>
        <w:pStyle w:val="BodyText"/>
      </w:pPr>
      <w:r>
        <w:t xml:space="preserve">Document generated in compliance with Brazilian commercial law and ANVISA regulatory framework. © 2025 Farmácia Central do Rio Ltda. –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Brazil Rio de Janeiro</dc:title>
  <dc:creator/>
  <dc:language>en</dc:language>
  <cp:keywords/>
  <dcterms:created xsi:type="dcterms:W3CDTF">2026-10-10T06:29:20Z</dcterms:created>
  <dcterms:modified xsi:type="dcterms:W3CDTF">2026-10-10T06:29:20Z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