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Supplies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Pharmaceutical &amp; Chemical Supply Procurement Document</w:t>
      </w:r>
    </w:p>
    <w:p>
      <w:pPr>
        <w:pStyle w:val="BodyText"/>
      </w:pPr>
      <w:r>
        <w:t xml:space="preserve">Prepared for Use in Canada Montreal – Province of Québec</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PO-CM-2025-04872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27,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p>
      <w:pPr>
        <w:pStyle w:val="BodyText"/>
      </w:pPr>
      <w:r>
        <w:rPr>
          <w:bCs/>
          <w:b/>
        </w:rPr>
        <w:t xml:space="preserve">Incoterms:</w:t>
      </w:r>
      <w:r>
        <w:t xml:space="preserve"> </w:t>
      </w:r>
      <w:r>
        <w:t xml:space="preserve">DDP – Canada Montreal</w:t>
      </w:r>
    </w:p>
    <w:bookmarkEnd w:id="21"/>
    <w:bookmarkStart w:id="22" w:name="buyer-information"/>
    <w:p>
      <w:pPr>
        <w:pStyle w:val="Heading3"/>
      </w:pPr>
      <w:r>
        <w:t xml:space="preserve">Buyer Information</w:t>
      </w:r>
    </w:p>
    <w:p>
      <w:pPr>
        <w:pStyle w:val="FirstParagraph"/>
      </w:pPr>
      <w:r>
        <w:rPr>
          <w:bCs/>
          <w:b/>
        </w:rPr>
        <w:t xml:space="preserve">Company:</w:t>
      </w:r>
      <w:r>
        <w:t xml:space="preserve"> </w:t>
      </w:r>
      <w:r>
        <w:t xml:space="preserve">Pharmacie du Centre-Ville Inc.</w:t>
      </w:r>
    </w:p>
    <w:p>
      <w:pPr>
        <w:pStyle w:val="BodyText"/>
      </w:pPr>
      <w:r>
        <w:rPr>
          <w:bCs/>
          <w:b/>
        </w:rPr>
        <w:t xml:space="preserve">Address:</w:t>
      </w:r>
      <w:r>
        <w:t xml:space="preserve"> </w:t>
      </w:r>
      <w:r>
        <w:t xml:space="preserve">1450 Rue Sainte-Catherine Ouest, Suite 300</w:t>
      </w:r>
    </w:p>
    <w:p>
      <w:pPr>
        <w:pStyle w:val="BodyText"/>
      </w:pPr>
      <w:r>
        <w:rPr>
          <w:bCs/>
          <w:b/>
        </w:rPr>
        <w:t xml:space="preserve">City/Province:</w:t>
      </w:r>
      <w:r>
        <w:t xml:space="preserve"> </w:t>
      </w:r>
      <w:r>
        <w:t xml:space="preserve">Canada Montreal, Québec H3G 1Z4</w:t>
      </w:r>
    </w:p>
    <w:p>
      <w:pPr>
        <w:pStyle w:val="BodyText"/>
      </w:pPr>
      <w:r>
        <w:rPr>
          <w:bCs/>
          <w:b/>
        </w:rPr>
        <w:t xml:space="preserve">Contact:</w:t>
      </w:r>
      <w:r>
        <w:t xml:space="preserve"> </w:t>
      </w:r>
      <w:r>
        <w:t xml:space="preserve">Marie-Claire Tremblay, Procurement Manager</w:t>
      </w:r>
    </w:p>
    <w:p>
      <w:pPr>
        <w:pStyle w:val="BodyText"/>
      </w:pPr>
      <w:r>
        <w:rPr>
          <w:bCs/>
          <w:b/>
        </w:rPr>
        <w:t xml:space="preserve">Phone:</w:t>
      </w:r>
      <w:r>
        <w:t xml:space="preserve"> </w:t>
      </w:r>
      <w:r>
        <w:t xml:space="preserve">(514) 555-0192</w:t>
      </w:r>
    </w:p>
    <w:p>
      <w:pPr>
        <w:pStyle w:val="BodyText"/>
      </w:pPr>
      <w:r>
        <w:rPr>
          <w:bCs/>
          <w:b/>
        </w:rPr>
        <w:t xml:space="preserve">Email:</w:t>
      </w:r>
      <w:r>
        <w:t xml:space="preserve"> </w:t>
      </w:r>
      <w:r>
        <w:t xml:space="preserve">m.tremblay@pharmaciecentreville.ca</w:t>
      </w:r>
    </w:p>
    <w:bookmarkEnd w:id="22"/>
    <w:bookmarkStart w:id="23" w:name="vendor-supplier-information"/>
    <w:p>
      <w:pPr>
        <w:pStyle w:val="Heading3"/>
      </w:pPr>
      <w:r>
        <w:t xml:space="preserve">Vendor / Supplier Information</w:t>
      </w:r>
    </w:p>
    <w:p>
      <w:pPr>
        <w:pStyle w:val="FirstParagraph"/>
      </w:pPr>
      <w:r>
        <w:rPr>
          <w:bCs/>
          <w:b/>
        </w:rPr>
        <w:t xml:space="preserve">Company:</w:t>
      </w:r>
      <w:r>
        <w:t xml:space="preserve"> </w:t>
      </w:r>
      <w:r>
        <w:t xml:space="preserve">Chemist Supply Solutions Ltd.</w:t>
      </w:r>
    </w:p>
    <w:p>
      <w:pPr>
        <w:pStyle w:val="BodyText"/>
      </w:pPr>
      <w:r>
        <w:rPr>
          <w:bCs/>
          <w:b/>
        </w:rPr>
        <w:t xml:space="preserve">Address:</w:t>
      </w:r>
      <w:r>
        <w:t xml:space="preserve"> </w:t>
      </w:r>
      <w:r>
        <w:t xml:space="preserve">8800 Boulevard Industriel, Unit 12</w:t>
      </w:r>
    </w:p>
    <w:p>
      <w:pPr>
        <w:pStyle w:val="BodyText"/>
      </w:pPr>
      <w:r>
        <w:rPr>
          <w:bCs/>
          <w:b/>
        </w:rPr>
        <w:t xml:space="preserve">City/Province:</w:t>
      </w:r>
      <w:r>
        <w:t xml:space="preserve"> </w:t>
      </w:r>
      <w:r>
        <w:t xml:space="preserve">Canada Montreal, Québec H4L 4V8</w:t>
      </w:r>
    </w:p>
    <w:p>
      <w:pPr>
        <w:pStyle w:val="BodyText"/>
      </w:pPr>
      <w:r>
        <w:rPr>
          <w:bCs/>
          <w:b/>
        </w:rPr>
        <w:t xml:space="preserve">Contact:</w:t>
      </w:r>
      <w:r>
        <w:t xml:space="preserve"> </w:t>
      </w:r>
      <w:r>
        <w:t xml:space="preserve">David Okafor, Sales Representative</w:t>
      </w:r>
    </w:p>
    <w:p>
      <w:pPr>
        <w:pStyle w:val="BodyText"/>
      </w:pPr>
      <w:r>
        <w:rPr>
          <w:bCs/>
          <w:b/>
        </w:rPr>
        <w:t xml:space="preserve">Phone:</w:t>
      </w:r>
      <w:r>
        <w:t xml:space="preserve"> </w:t>
      </w:r>
      <w:r>
        <w:t xml:space="preserve">(514) 555-0347</w:t>
      </w:r>
    </w:p>
    <w:p>
      <w:pPr>
        <w:pStyle w:val="BodyText"/>
      </w:pPr>
      <w:r>
        <w:rPr>
          <w:bCs/>
          <w:b/>
        </w:rPr>
        <w:t xml:space="preserve">Business No. (QRC):</w:t>
      </w:r>
      <w:r>
        <w:t xml:space="preserve"> </w:t>
      </w:r>
      <w:r>
        <w:t xml:space="preserve">1234567890001</w:t>
      </w:r>
    </w:p>
    <w:bookmarkEnd w:id="23"/>
    <w:bookmarkStart w:id="24" w:name="shipping-delivery"/>
    <w:p>
      <w:pPr>
        <w:pStyle w:val="Heading3"/>
      </w:pPr>
      <w:r>
        <w:t xml:space="preserve">Shipping &amp; Delivery</w:t>
      </w:r>
    </w:p>
    <w:p>
      <w:pPr>
        <w:pStyle w:val="FirstParagraph"/>
      </w:pPr>
      <w:r>
        <w:rPr>
          <w:bCs/>
          <w:b/>
        </w:rPr>
        <w:t xml:space="preserve">Ship To:</w:t>
      </w:r>
      <w:r>
        <w:t xml:space="preserve"> </w:t>
      </w:r>
      <w:r>
        <w:t xml:space="preserve">Pharmacie du Centre-Ville Inc.</w:t>
      </w:r>
    </w:p>
    <w:p>
      <w:pPr>
        <w:pStyle w:val="BodyText"/>
      </w:pPr>
      <w:r>
        <w:rPr>
          <w:bCs/>
          <w:b/>
        </w:rPr>
        <w:t xml:space="preserve">Address:</w:t>
      </w:r>
      <w:r>
        <w:t xml:space="preserve"> </w:t>
      </w:r>
      <w:r>
        <w:t xml:space="preserve">1450 Rue Sainte-Catherine Ouest, Suite 300</w:t>
      </w:r>
    </w:p>
    <w:p>
      <w:pPr>
        <w:pStyle w:val="BodyText"/>
      </w:pPr>
      <w:r>
        <w:rPr>
          <w:bCs/>
          <w:b/>
        </w:rPr>
        <w:t xml:space="preserve">City/Province:</w:t>
      </w:r>
      <w:r>
        <w:t xml:space="preserve"> </w:t>
      </w:r>
      <w:r>
        <w:t xml:space="preserve">Canada Montreal, Québec H3G 1Z4</w:t>
      </w:r>
    </w:p>
    <w:p>
      <w:pPr>
        <w:pStyle w:val="BodyText"/>
      </w:pPr>
      <w:r>
        <w:rPr>
          <w:bCs/>
          <w:b/>
        </w:rPr>
        <w:t xml:space="preserve">Delivery Window:</w:t>
      </w:r>
      <w:r>
        <w:t xml:space="preserve"> </w:t>
      </w:r>
      <w:r>
        <w:t xml:space="preserve">08:00 – 16:00 EST</w:t>
      </w:r>
    </w:p>
    <w:p>
      <w:pPr>
        <w:pStyle w:val="BodyText"/>
      </w:pPr>
      <w:r>
        <w:rPr>
          <w:bCs/>
          <w:b/>
        </w:rPr>
        <w:t xml:space="preserve">Carrier:</w:t>
      </w:r>
      <w:r>
        <w:t xml:space="preserve"> </w:t>
      </w:r>
      <w:r>
        <w:t xml:space="preserve">Purolator Express / Local Courier</w:t>
      </w:r>
    </w:p>
    <w:p>
      <w:pPr>
        <w:pStyle w:val="BodyText"/>
      </w:pPr>
      <w:r>
        <w:rPr>
          <w:bCs/>
          <w:b/>
        </w:rPr>
        <w:t xml:space="preserve">Special Instructions:</w:t>
      </w:r>
      <w:r>
        <w:t xml:space="preserve"> </w:t>
      </w:r>
      <w:r>
        <w:t xml:space="preserve">Refrigerated transport required for items 4–6</w:t>
      </w:r>
    </w:p>
    <w:bookmarkEnd w:id="24"/>
    <w:bookmarkStart w:id="25" w:name="X4af5d000e66001de0f58b3d8c2422128625e6cb"/>
    <w:p>
      <w:pPr>
        <w:pStyle w:val="Heading2"/>
      </w:pPr>
      <w:r>
        <w:t xml:space="preserve">Line Items – Chemist &amp; Pharmaceutical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Catalog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Analytical Grade Sodium Chloride (NaCl), 500 g – Chemist laboratory reagent</w:t>
            </w:r>
          </w:p>
        </w:tc>
        <w:tc>
          <w:tcPr/>
          <w:p>
            <w:pPr>
              <w:pStyle w:val="Compact"/>
              <w:jc w:val="left"/>
            </w:pPr>
            <w:r>
              <w:t xml:space="preserve">CSS-NA-0500</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18.50</w:t>
            </w:r>
          </w:p>
        </w:tc>
        <w:tc>
          <w:tcPr/>
          <w:p>
            <w:pPr>
              <w:pStyle w:val="Compact"/>
              <w:jc w:val="left"/>
            </w:pPr>
            <w:r>
              <w:t xml:space="preserve">444.00</w:t>
            </w:r>
          </w:p>
        </w:tc>
      </w:tr>
      <w:tr>
        <w:tc>
          <w:tcPr/>
          <w:p>
            <w:pPr>
              <w:pStyle w:val="Compact"/>
              <w:jc w:val="left"/>
            </w:pPr>
            <w:r>
              <w:t xml:space="preserve">2</w:t>
            </w:r>
          </w:p>
        </w:tc>
        <w:tc>
          <w:tcPr/>
          <w:p>
            <w:pPr>
              <w:pStyle w:val="Compact"/>
              <w:jc w:val="left"/>
            </w:pPr>
            <w:r>
              <w:t xml:space="preserve">Phosphate-Buffered Saline (PBS) Solution, 1 L, pH 7.4 – Chemist formulation</w:t>
            </w:r>
          </w:p>
        </w:tc>
        <w:tc>
          <w:tcPr/>
          <w:p>
            <w:pPr>
              <w:pStyle w:val="Compact"/>
              <w:jc w:val="left"/>
            </w:pPr>
            <w:r>
              <w:t xml:space="preserve">CSS-PB-1000</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42.75</w:t>
            </w:r>
          </w:p>
        </w:tc>
        <w:tc>
          <w:tcPr/>
          <w:p>
            <w:pPr>
              <w:pStyle w:val="Compact"/>
              <w:jc w:val="left"/>
            </w:pPr>
            <w:r>
              <w:t xml:space="preserve">513.00</w:t>
            </w:r>
          </w:p>
        </w:tc>
      </w:tr>
      <w:tr>
        <w:tc>
          <w:tcPr/>
          <w:p>
            <w:pPr>
              <w:pStyle w:val="Compact"/>
              <w:jc w:val="left"/>
            </w:pPr>
            <w:r>
              <w:t xml:space="preserve">3</w:t>
            </w:r>
          </w:p>
        </w:tc>
        <w:tc>
          <w:tcPr/>
          <w:p>
            <w:pPr>
              <w:pStyle w:val="Compact"/>
              <w:jc w:val="left"/>
            </w:pPr>
            <w:r>
              <w:t xml:space="preserve">UV-Vis Spectrophotometer, Benchtop Model – Chemist diagnostic equipment</w:t>
            </w:r>
          </w:p>
        </w:tc>
        <w:tc>
          <w:tcPr/>
          <w:p>
            <w:pPr>
              <w:pStyle w:val="Compact"/>
              <w:jc w:val="left"/>
            </w:pPr>
            <w:r>
              <w:t xml:space="preserve">CSS-UV-2200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3,850.00</w:t>
            </w:r>
          </w:p>
        </w:tc>
        <w:tc>
          <w:tcPr/>
          <w:p>
            <w:pPr>
              <w:pStyle w:val="Compact"/>
              <w:jc w:val="left"/>
            </w:pPr>
            <w:r>
              <w:t xml:space="preserve">7,700.00</w:t>
            </w:r>
          </w:p>
        </w:tc>
      </w:tr>
      <w:tr>
        <w:tc>
          <w:tcPr/>
          <w:p>
            <w:pPr>
              <w:pStyle w:val="Compact"/>
              <w:jc w:val="left"/>
            </w:pPr>
            <w:r>
              <w:t xml:space="preserve">4</w:t>
            </w:r>
          </w:p>
        </w:tc>
        <w:tc>
          <w:tcPr/>
          <w:p>
            <w:pPr>
              <w:pStyle w:val="Compact"/>
              <w:jc w:val="left"/>
            </w:pPr>
            <w:r>
              <w:t xml:space="preserve">Refrigerated Chemical Storage Cabinet, 200 L – Chemist cold-chain unit</w:t>
            </w:r>
          </w:p>
        </w:tc>
        <w:tc>
          <w:tcPr/>
          <w:p>
            <w:pPr>
              <w:pStyle w:val="Compact"/>
              <w:jc w:val="left"/>
            </w:pPr>
            <w:r>
              <w:t xml:space="preserve">CSS-RC-0200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5</w:t>
            </w:r>
          </w:p>
        </w:tc>
        <w:tc>
          <w:tcPr/>
          <w:p>
            <w:pPr>
              <w:pStyle w:val="Compact"/>
              <w:jc w:val="left"/>
            </w:pPr>
            <w:r>
              <w:t xml:space="preserve">Acetone, HPLC Grade, 4 L – Chemist solvent for chromatography</w:t>
            </w:r>
          </w:p>
        </w:tc>
        <w:tc>
          <w:tcPr/>
          <w:p>
            <w:pPr>
              <w:pStyle w:val="Compact"/>
              <w:jc w:val="left"/>
            </w:pPr>
            <w:r>
              <w:t xml:space="preserve">CSS-AC-4000</w:t>
            </w:r>
          </w:p>
        </w:tc>
        <w:tc>
          <w:tcPr/>
          <w:p>
            <w:pPr>
              <w:pStyle w:val="Compact"/>
              <w:jc w:val="left"/>
            </w:pPr>
            <w:r>
              <w:t xml:space="preserve">8</w:t>
            </w:r>
          </w:p>
        </w:tc>
        <w:tc>
          <w:tcPr/>
          <w:p>
            <w:pPr>
              <w:pStyle w:val="Compact"/>
              <w:jc w:val="left"/>
            </w:pPr>
            <w:r>
              <w:t xml:space="preserve">cans</w:t>
            </w:r>
          </w:p>
        </w:tc>
        <w:tc>
          <w:tcPr/>
          <w:p>
            <w:pPr>
              <w:pStyle w:val="Compact"/>
              <w:jc w:val="left"/>
            </w:pPr>
            <w:r>
              <w:t xml:space="preserve">96.00</w:t>
            </w:r>
          </w:p>
        </w:tc>
        <w:tc>
          <w:tcPr/>
          <w:p>
            <w:pPr>
              <w:pStyle w:val="Compact"/>
              <w:jc w:val="left"/>
            </w:pPr>
            <w:r>
              <w:t xml:space="preserve">768.00</w:t>
            </w:r>
          </w:p>
        </w:tc>
      </w:tr>
      <w:tr>
        <w:tc>
          <w:tcPr/>
          <w:p>
            <w:pPr>
              <w:pStyle w:val="Compact"/>
              <w:jc w:val="left"/>
            </w:pPr>
            <w:r>
              <w:t xml:space="preserve">6</w:t>
            </w:r>
          </w:p>
        </w:tc>
        <w:tc>
          <w:tcPr/>
          <w:p>
            <w:pPr>
              <w:pStyle w:val="Compact"/>
              <w:jc w:val="left"/>
            </w:pPr>
            <w:r>
              <w:t xml:space="preserve">Biological Reagent Kit (Enzyme Assay), 50 tests – Chemist diagnostic panel</w:t>
            </w:r>
          </w:p>
        </w:tc>
        <w:tc>
          <w:tcPr/>
          <w:p>
            <w:pPr>
              <w:pStyle w:val="Compact"/>
              <w:jc w:val="left"/>
            </w:pPr>
            <w:r>
              <w:t xml:space="preserve">CSS-BR-0050</w:t>
            </w:r>
          </w:p>
        </w:tc>
        <w:tc>
          <w:tcPr/>
          <w:p>
            <w:pPr>
              <w:pStyle w:val="Compact"/>
              <w:jc w:val="left"/>
            </w:pPr>
            <w:r>
              <w:t xml:space="preserve">10</w:t>
            </w:r>
          </w:p>
        </w:tc>
        <w:tc>
          <w:tcPr/>
          <w:p>
            <w:pPr>
              <w:pStyle w:val="Compact"/>
              <w:jc w:val="left"/>
            </w:pPr>
            <w:r>
              <w:t xml:space="preserve">kits</w:t>
            </w:r>
          </w:p>
        </w:tc>
        <w:tc>
          <w:tcPr/>
          <w:p>
            <w:pPr>
              <w:pStyle w:val="Compact"/>
              <w:jc w:val="left"/>
            </w:pPr>
            <w:r>
              <w:t xml:space="preserve">285.00</w:t>
            </w:r>
          </w:p>
        </w:tc>
        <w:tc>
          <w:tcPr/>
          <w:p>
            <w:pPr>
              <w:pStyle w:val="Compact"/>
              <w:jc w:val="left"/>
            </w:pPr>
            <w:r>
              <w:t xml:space="preserve">2,850.00</w:t>
            </w:r>
          </w:p>
        </w:tc>
      </w:tr>
      <w:tr>
        <w:tc>
          <w:tcPr/>
          <w:p>
            <w:pPr>
              <w:pStyle w:val="Compact"/>
              <w:jc w:val="left"/>
            </w:pPr>
            <w:r>
              <w:t xml:space="preserve">7</w:t>
            </w:r>
          </w:p>
        </w:tc>
        <w:tc>
          <w:tcPr/>
          <w:p>
            <w:pPr>
              <w:pStyle w:val="Compact"/>
              <w:jc w:val="left"/>
            </w:pPr>
            <w:r>
              <w:t xml:space="preserve">Nitrile Examination Gloves, Large, Box of 100 – Chemist PPE</w:t>
            </w:r>
          </w:p>
        </w:tc>
        <w:tc>
          <w:tcPr/>
          <w:p>
            <w:pPr>
              <w:pStyle w:val="Compact"/>
              <w:jc w:val="left"/>
            </w:pPr>
            <w:r>
              <w:t xml:space="preserve">CSS-GL-0100</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14.25</w:t>
            </w:r>
          </w:p>
        </w:tc>
        <w:tc>
          <w:tcPr/>
          <w:p>
            <w:pPr>
              <w:pStyle w:val="Compact"/>
              <w:jc w:val="left"/>
            </w:pPr>
            <w:r>
              <w:t xml:space="preserve">712.50</w:t>
            </w:r>
          </w:p>
        </w:tc>
      </w:tr>
      <w:tr>
        <w:tc>
          <w:tcPr/>
          <w:p>
            <w:pPr>
              <w:pStyle w:val="Compact"/>
              <w:jc w:val="left"/>
            </w:pPr>
            <w:r>
              <w:t xml:space="preserve">8</w:t>
            </w:r>
          </w:p>
        </w:tc>
        <w:tc>
          <w:tcPr/>
          <w:p>
            <w:pPr>
              <w:pStyle w:val="Compact"/>
              <w:jc w:val="left"/>
            </w:pPr>
            <w:r>
              <w:t xml:space="preserve">Calibrated Digital Analytical Balance, 0.0001 g – Chemist measurement tool</w:t>
            </w:r>
          </w:p>
        </w:tc>
        <w:tc>
          <w:tcPr/>
          <w:p>
            <w:pPr>
              <w:pStyle w:val="Compact"/>
              <w:jc w:val="left"/>
            </w:pPr>
            <w:r>
              <w:t xml:space="preserve">CSS-DB-0001</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1,240.00</w:t>
            </w:r>
          </w:p>
        </w:tc>
        <w:tc>
          <w:tcPr/>
          <w:p>
            <w:pPr>
              <w:pStyle w:val="Compact"/>
              <w:jc w:val="left"/>
            </w:pPr>
            <w:r>
              <w:t xml:space="preserve">3,720.00</w:t>
            </w:r>
          </w:p>
        </w:tc>
      </w:tr>
      <w:tr>
        <w:tc>
          <w:tcPr/>
          <w:p>
            <w:pPr>
              <w:pStyle w:val="Compact"/>
              <w:jc w:val="left"/>
            </w:pPr>
            <w:r>
              <w:t xml:space="preserve">9</w:t>
            </w:r>
          </w:p>
        </w:tc>
        <w:tc>
          <w:tcPr/>
          <w:p>
            <w:pPr>
              <w:pStyle w:val="Compact"/>
              <w:jc w:val="left"/>
            </w:pPr>
            <w:r>
              <w:t xml:space="preserve">Lab Coats, White, Cotton Blend, Sizes M–XL – Chemist workwear</w:t>
            </w:r>
          </w:p>
        </w:tc>
        <w:tc>
          <w:tcPr/>
          <w:p>
            <w:pPr>
              <w:pStyle w:val="Compact"/>
              <w:jc w:val="left"/>
            </w:pPr>
            <w:r>
              <w:t xml:space="preserve">CSS-LC-0001</w:t>
            </w:r>
          </w:p>
        </w:tc>
        <w:tc>
          <w:tcPr/>
          <w:p>
            <w:pPr>
              <w:pStyle w:val="Compact"/>
              <w:jc w:val="left"/>
            </w:pPr>
            <w:r>
              <w:t xml:space="preserve">15</w:t>
            </w:r>
          </w:p>
        </w:tc>
        <w:tc>
          <w:tcPr/>
          <w:p>
            <w:pPr>
              <w:pStyle w:val="Compact"/>
              <w:jc w:val="left"/>
            </w:pPr>
            <w:r>
              <w:t xml:space="preserve">pieces</w:t>
            </w:r>
          </w:p>
        </w:tc>
        <w:tc>
          <w:tcPr/>
          <w:p>
            <w:pPr>
              <w:pStyle w:val="Compact"/>
              <w:jc w:val="left"/>
            </w:pPr>
            <w:r>
              <w:t xml:space="preserve">38.00</w:t>
            </w:r>
          </w:p>
        </w:tc>
        <w:tc>
          <w:tcPr/>
          <w:p>
            <w:pPr>
              <w:pStyle w:val="Compact"/>
              <w:jc w:val="left"/>
            </w:pPr>
            <w:r>
              <w:t xml:space="preserve">570.00</w:t>
            </w:r>
          </w:p>
        </w:tc>
      </w:tr>
      <w:tr>
        <w:tc>
          <w:tcPr/>
          <w:p>
            <w:pPr>
              <w:pStyle w:val="Compact"/>
              <w:jc w:val="left"/>
            </w:pPr>
            <w:r>
              <w:t xml:space="preserve">10</w:t>
            </w:r>
          </w:p>
        </w:tc>
        <w:tc>
          <w:tcPr/>
          <w:p>
            <w:pPr>
              <w:pStyle w:val="Compact"/>
              <w:jc w:val="left"/>
            </w:pPr>
            <w:r>
              <w:t xml:space="preserve">Waste Disposal Containers, 20 L, Biohazard Rated – Chemist safety equipment</w:t>
            </w:r>
          </w:p>
        </w:tc>
        <w:tc>
          <w:tcPr/>
          <w:p>
            <w:pPr>
              <w:pStyle w:val="Compact"/>
              <w:jc w:val="left"/>
            </w:pPr>
            <w:r>
              <w:t xml:space="preserve">CSS-WD-0020</w:t>
            </w:r>
          </w:p>
        </w:tc>
        <w:tc>
          <w:tcPr/>
          <w:p>
            <w:pPr>
              <w:pStyle w:val="Compact"/>
              <w:jc w:val="left"/>
            </w:pPr>
            <w:r>
              <w:t xml:space="preserve">6</w:t>
            </w:r>
          </w:p>
        </w:tc>
        <w:tc>
          <w:tcPr/>
          <w:p>
            <w:pPr>
              <w:pStyle w:val="Compact"/>
              <w:jc w:val="left"/>
            </w:pPr>
            <w:r>
              <w:t xml:space="preserve">units</w:t>
            </w:r>
          </w:p>
        </w:tc>
        <w:tc>
          <w:tcPr/>
          <w:p>
            <w:pPr>
              <w:pStyle w:val="Compact"/>
              <w:jc w:val="left"/>
            </w:pPr>
            <w:r>
              <w:t xml:space="preserve">67.50</w:t>
            </w:r>
          </w:p>
        </w:tc>
        <w:tc>
          <w:tcPr/>
          <w:p>
            <w:pPr>
              <w:pStyle w:val="Compact"/>
              <w:jc w:val="left"/>
            </w:pPr>
            <w:r>
              <w:t xml:space="preserve">405.00</w:t>
            </w:r>
          </w:p>
        </w:tc>
      </w:tr>
    </w:tbl>
    <w:bookmarkEnd w:id="25"/>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$19,832.50</w:t>
            </w:r>
          </w:p>
        </w:tc>
      </w:tr>
      <w:tr>
        <w:tc>
          <w:tcPr/>
          <w:p>
            <w:pPr>
              <w:pStyle w:val="Compact"/>
              <w:jc w:val="left"/>
            </w:pPr>
            <w:r>
              <w:t xml:space="preserve">Québec QST (5%)</w:t>
            </w:r>
          </w:p>
        </w:tc>
        <w:tc>
          <w:tcPr/>
          <w:p>
            <w:pPr>
              <w:pStyle w:val="Compact"/>
              <w:jc w:val="right"/>
            </w:pPr>
            <w:r>
              <w:t xml:space="preserve">$991.63</w:t>
            </w:r>
          </w:p>
        </w:tc>
      </w:tr>
      <w:tr>
        <w:tc>
          <w:tcPr/>
          <w:p>
            <w:pPr>
              <w:pStyle w:val="Compact"/>
              <w:jc w:val="left"/>
            </w:pPr>
            <w:r>
              <w:t xml:space="preserve">Federal GST (5%)</w:t>
            </w:r>
          </w:p>
        </w:tc>
        <w:tc>
          <w:tcPr/>
          <w:p>
            <w:pPr>
              <w:pStyle w:val="Compact"/>
              <w:jc w:val="right"/>
            </w:pPr>
            <w:r>
              <w:t xml:space="preserve">$991.63</w:t>
            </w:r>
          </w:p>
        </w:tc>
      </w:tr>
      <w:tr>
        <w:tc>
          <w:tcPr/>
          <w:p>
            <w:pPr>
              <w:pStyle w:val="Compact"/>
              <w:jc w:val="left"/>
            </w:pPr>
            <w:r>
              <w:t xml:space="preserve">Freight &amp; Delivery (Canada Montreal)</w:t>
            </w:r>
          </w:p>
        </w:tc>
        <w:tc>
          <w:tcPr/>
          <w:p>
            <w:pPr>
              <w:pStyle w:val="Compact"/>
              <w:jc w:val="right"/>
            </w:pPr>
            <w:r>
              <w:t xml:space="preserve">$385.00</w:t>
            </w:r>
          </w:p>
        </w:tc>
      </w:tr>
      <w:tr>
        <w:tc>
          <w:tcPr/>
          <w:p>
            <w:pPr>
              <w:pStyle w:val="Compact"/>
              <w:jc w:val="left"/>
            </w:pPr>
            <w:r>
              <w:t xml:space="preserve">Grand Total (CAD)</w:t>
            </w:r>
          </w:p>
        </w:tc>
        <w:tc>
          <w:tcPr/>
          <w:p>
            <w:pPr>
              <w:pStyle w:val="Compact"/>
              <w:jc w:val="right"/>
            </w:pPr>
            <w:r>
              <w:t xml:space="preserve">$22,200.76</w:t>
            </w:r>
          </w:p>
        </w:tc>
      </w:tr>
    </w:tbl>
    <w:bookmarkStart w:id="26" w:name="terms-and-conditions"/>
    <w:p>
      <w:pPr>
        <w:pStyle w:val="Heading2"/>
      </w:pPr>
      <w:r>
        <w:t xml:space="preserve">Terms and Conditions</w:t>
      </w:r>
    </w:p>
    <w:p>
      <w:pPr>
        <w:numPr>
          <w:ilvl w:val="0"/>
          <w:numId w:val="1001"/>
        </w:numPr>
        <w:pStyle w:val="Compact"/>
      </w:pPr>
      <w:r>
        <w:t xml:space="preserve">This Purchase Order is issued by Pharmacie du Centre-Ville Inc., a registered pharmacy operating in Canada Montreal, Québec, and is governed by the laws of the Province of Québec and the federal laws of Canada applicable to pharmaceutical and chemical commerce.</w:t>
      </w:r>
    </w:p>
    <w:p>
      <w:pPr>
        <w:numPr>
          <w:ilvl w:val="0"/>
          <w:numId w:val="1001"/>
        </w:numPr>
        <w:pStyle w:val="Compact"/>
      </w:pPr>
      <w:r>
        <w:t xml:space="preserve">All items listed under the Chemist supply category must comply with the Canadian Food and Drug Act, the Controlled Drugs and Substances Act, and the Québec Act Respecting the Distribution of Drugs and the Practice of Pharmacy.</w:t>
      </w:r>
    </w:p>
    <w:p>
      <w:pPr>
        <w:numPr>
          <w:ilvl w:val="0"/>
          <w:numId w:val="1001"/>
        </w:numPr>
        <w:pStyle w:val="Compact"/>
      </w:pPr>
      <w:r>
        <w:t xml:space="preserve">The vendor, Chemist Supply Solutions Ltd., warrants that all chemical reagents, pharmaceutical formulations, and laboratory equipment supplied under this Purchase Order meet or exceed the standards set by the Canadian Pharmacopoeia and Health Canada regulations.</w:t>
      </w:r>
    </w:p>
    <w:p>
      <w:pPr>
        <w:numPr>
          <w:ilvl w:val="0"/>
          <w:numId w:val="1001"/>
        </w:numPr>
        <w:pStyle w:val="Compact"/>
      </w:pPr>
      <w:r>
        <w:t xml:space="preserve">Delivery of all goods shall be made to the specified address in Canada Montreal no later than the Required Delivery Date stated above. Late delivery beyond five (5) business days entitles the buyer to cancel this Purchase Order without penalty.</w:t>
      </w:r>
    </w:p>
    <w:p>
      <w:pPr>
        <w:numPr>
          <w:ilvl w:val="0"/>
          <w:numId w:val="1001"/>
        </w:numPr>
        <w:pStyle w:val="Compact"/>
      </w:pPr>
      <w:r>
        <w:t xml:space="preserve">Payment shall be remitted via electronic funds transfer (EFT) to the vendor's designated Canadian bank account within thirty (30) calendar days of the date of invoice, provided all goods have been received and inspected in satisfactory condition.</w:t>
      </w:r>
    </w:p>
    <w:p>
      <w:pPr>
        <w:numPr>
          <w:ilvl w:val="0"/>
          <w:numId w:val="1001"/>
        </w:numPr>
        <w:pStyle w:val="Compact"/>
      </w:pPr>
      <w:r>
        <w:t xml:space="preserve">The Chemist equipment items (UV-Vis Spectrophotometer, Digital Analytical Balance, and Refrigerated Storage Cabinet) shall be delivered fully calibrated, accompanied by valid calibration certificates traceable to the National Research Council of Canada (NRC) standards.</w:t>
      </w:r>
    </w:p>
    <w:p>
      <w:pPr>
        <w:numPr>
          <w:ilvl w:val="0"/>
          <w:numId w:val="1001"/>
        </w:numPr>
        <w:pStyle w:val="Compact"/>
      </w:pPr>
      <w:r>
        <w:t xml:space="preserve">All hazardous chemical materials shall be shipped in compliance with the Transportation of Dangerous Goods Regulations (TDGR) of Canada and the applicable Québec provincial transport safety bylaws. Proper Material Safety Data Sheets (MSDS/SDS) must accompany each shipment.</w:t>
      </w:r>
    </w:p>
    <w:p>
      <w:pPr>
        <w:numPr>
          <w:ilvl w:val="0"/>
          <w:numId w:val="1001"/>
        </w:numPr>
        <w:pStyle w:val="Compact"/>
      </w:pPr>
      <w:r>
        <w:t xml:space="preserve">The vendor shall maintain a minimum of twelve (12) months of product liability insurance coverage valid in Canada Montreal and throughout the Province of Québec.</w:t>
      </w:r>
    </w:p>
    <w:p>
      <w:pPr>
        <w:numPr>
          <w:ilvl w:val="0"/>
          <w:numId w:val="1001"/>
        </w:numPr>
        <w:pStyle w:val="Compact"/>
      </w:pPr>
      <w:r>
        <w:t xml:space="preserve">Any disputes arising from this Purchase Order shall be resolved through mediation in Canada Montreal before proceeding to the small claims court or superior court of Québec, as appropriate.</w:t>
      </w:r>
    </w:p>
    <w:p>
      <w:pPr>
        <w:numPr>
          <w:ilvl w:val="0"/>
          <w:numId w:val="1001"/>
        </w:numPr>
        <w:pStyle w:val="Compact"/>
      </w:pPr>
      <w:r>
        <w:t xml:space="preserve">This Purchase Order becomes effective upon written acceptance by both parties and remains valid for a period of ninety (90) days from the Date of Issue unless extended in writing.</w:t>
      </w:r>
    </w:p>
    <w:bookmarkEnd w:id="26"/>
    <w:bookmarkStart w:id="27" w:name="notes-and-special-instructions"/>
    <w:p>
      <w:pPr>
        <w:pStyle w:val="Heading2"/>
      </w:pPr>
      <w:r>
        <w:t xml:space="preserve">Notes and Special Instructions</w:t>
      </w:r>
    </w:p>
    <w:p>
      <w:pPr>
        <w:pStyle w:val="FirstParagraph"/>
      </w:pPr>
      <w:r>
        <w:t xml:space="preserve">The buyer requests that all Chemist reagents and pharmaceutical-grade chemicals be stored and transported at controlled temperatures as indicated on the individual product labels. Items 4 through 6 require a cold-chain logistics solution from the vendor's warehouse in Canada Montreal to the buyer's pharmacy premises. The vendor is responsible for all packaging, labeling, and regulatory documentation required by Santé Québec and the Agence de la santé publique du Québec for the import, storage, and distribution of chemical and pharmaceutical products within the Canada Montreal metropolitan area.</w:t>
      </w:r>
    </w:p>
    <w:p>
      <w:pPr>
        <w:pStyle w:val="BodyText"/>
      </w:pPr>
      <w:r>
        <w:t xml:space="preserve">The buyer reserves the right to inspect all goods upon arrival at the Canada Montreal delivery address. Any damaged, expired, or non-conforming items must be reported within forty-eight (48) hours of delivery and shall be replaced or credited at the vendor's expense.</w:t>
      </w:r>
    </w:p>
    <w:bookmarkEnd w:id="27"/>
    <w:p>
      <w:pPr>
        <w:pStyle w:val="BodyText"/>
      </w:pPr>
      <w:r>
        <w:rPr>
          <w:bCs/>
          <w:b/>
        </w:rPr>
        <w:t xml:space="preserve">Authorized by (Buyer):</w:t>
      </w:r>
    </w:p>
    <w:p>
      <w:pPr>
        <w:pStyle w:val="BodyText"/>
      </w:pPr>
      <w:r>
        <w:t xml:space="preserve">Marie-Claire Tremblay – Procurement Manager</w:t>
      </w:r>
    </w:p>
    <w:p>
      <w:pPr>
        <w:pStyle w:val="BodyText"/>
      </w:pPr>
      <w:r>
        <w:t xml:space="preserve">Pharmacie du Centre-Ville Inc., Canada Montreal</w:t>
      </w:r>
    </w:p>
    <w:p>
      <w:pPr>
        <w:pStyle w:val="BodyText"/>
      </w:pPr>
      <w:r>
        <w:t xml:space="preserve">Date: ______________________</w:t>
      </w:r>
    </w:p>
    <w:p>
      <w:pPr>
        <w:pStyle w:val="BodyText"/>
      </w:pPr>
      <w:r>
        <w:rPr>
          <w:bCs/>
          <w:b/>
        </w:rPr>
        <w:t xml:space="preserve">Accepted by (Vendor):</w:t>
      </w:r>
    </w:p>
    <w:p>
      <w:pPr>
        <w:pStyle w:val="BodyText"/>
      </w:pPr>
      <w:r>
        <w:t xml:space="preserve">David Okafor – Sales Representative</w:t>
      </w:r>
    </w:p>
    <w:p>
      <w:pPr>
        <w:pStyle w:val="BodyText"/>
      </w:pPr>
      <w:r>
        <w:t xml:space="preserve">Chemist Supply Solutions Ltd., Canada Montreal</w:t>
      </w:r>
    </w:p>
    <w:p>
      <w:pPr>
        <w:pStyle w:val="BodyText"/>
      </w:pPr>
      <w:r>
        <w:t xml:space="preserve">Date: ______________________</w:t>
      </w:r>
    </w:p>
    <w:p>
      <w:pPr>
        <w:pStyle w:val="BodyText"/>
      </w:pPr>
      <w:r>
        <w:t xml:space="preserve">This Purchase Order document (PO-CM-2025-04872) was prepared for use in Canada Montreal, Québec, Canada. All transactions are subject to applicable federal and provincial Canadian legislation. Chemist Supply Solutions Ltd. is the designated vendor for all pharmaceutical and chemical procurement under this Purchase Order. For questions or amendments, contact the Procurement Department at Pharmacie du Centre-Ville Inc., 1450 Rue Sainte-Catherine Ouest, Canada Montreal, Québec H3G 1Z4.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Supplies - Canada Montreal</dc:title>
  <dc:creator/>
  <dc:language>en</dc:language>
  <cp:keywords/>
  <dcterms:created xsi:type="dcterms:W3CDTF">2026-10-10T03:37:51Z</dcterms:created>
  <dcterms:modified xsi:type="dcterms:W3CDTF">2026-10-10T03:37:51Z</dcterms:modified>
</cp:coreProperties>
</file>

<file path=docProps/custom.xml><?xml version="1.0" encoding="utf-8"?>
<Properties xmlns="http://schemas.openxmlformats.org/officeDocument/2006/custom-properties" xmlns:vt="http://schemas.openxmlformats.org/officeDocument/2006/docPropsVTypes"/>
</file>