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Pharmaceutical &amp; Chemist Supply Procurement</w:t>
      </w:r>
    </w:p>
    <w:p>
      <w:pPr>
        <w:pStyle w:val="BodyText"/>
      </w:pPr>
      <w:r>
        <w:t xml:space="preserve">Issued in Chile Santiago, Metropolitan Region</w:t>
      </w:r>
    </w:p>
    <w:bookmarkEnd w:id="20"/>
    <w:p>
      <w:pPr>
        <w:pStyle w:val="BodyText"/>
      </w:pPr>
      <w:r>
        <w:rPr>
          <w:bCs/>
          <w:b/>
        </w:rPr>
        <w:t xml:space="preserve">PO Number:</w:t>
      </w:r>
      <w:r>
        <w:t xml:space="preserve"> </w:t>
      </w:r>
      <w:r>
        <w:t xml:space="preserve">PO-CL-SGO-2025-04871</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28 June 2025</w:t>
      </w:r>
    </w:p>
    <w:p>
      <w:pPr>
        <w:pStyle w:val="BodyText"/>
      </w:pPr>
      <w:r>
        <w:rPr>
          <w:bCs/>
          <w:b/>
        </w:rPr>
        <w:t xml:space="preserve">Valid Until:</w:t>
      </w:r>
      <w:r>
        <w:t xml:space="preserve"> </w:t>
      </w:r>
      <w:r>
        <w:t xml:space="preserve">14 July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Farmacía Central Andina SpA</w:t>
      </w:r>
    </w:p>
    <w:p>
      <w:pPr>
        <w:pStyle w:val="BodyText"/>
      </w:pPr>
      <w:r>
        <w:rPr>
          <w:bCs/>
          <w:b/>
        </w:rPr>
        <w:t xml:space="preserve">Address:</w:t>
      </w:r>
      <w:r>
        <w:t xml:space="preserve"> </w:t>
      </w:r>
      <w:r>
        <w:t xml:space="preserve">Av. Apoquindo 4560, Piso 12, Las Condes, Chile Santiago</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María José Contreras, Procurement Manager</w:t>
      </w:r>
    </w:p>
    <w:p>
      <w:pPr>
        <w:pStyle w:val="BodyText"/>
      </w:pPr>
      <w:r>
        <w:rPr>
          <w:bCs/>
          <w:b/>
        </w:rPr>
        <w:t xml:space="preserve">Email:</w:t>
      </w:r>
      <w:r>
        <w:t xml:space="preserve"> </w:t>
      </w:r>
      <w:r>
        <w:t xml:space="preserve">mcontreras@farmaciacentral.cl</w:t>
      </w:r>
    </w:p>
    <w:p>
      <w:pPr>
        <w:pStyle w:val="BodyText"/>
      </w:pPr>
      <w:r>
        <w:rPr>
          <w:bCs/>
          <w:b/>
        </w:rPr>
        <w:t xml:space="preserve">Phone:</w:t>
      </w:r>
      <w:r>
        <w:t xml:space="preserve"> </w:t>
      </w:r>
      <w:r>
        <w:t xml:space="preserve">+56 2 2345 6789</w:t>
      </w:r>
    </w:p>
    <w:bookmarkEnd w:id="21"/>
    <w:bookmarkStart w:id="22" w:name="supplier-chemist-pharmacy-distributor"/>
    <w:p>
      <w:pPr>
        <w:pStyle w:val="Heading3"/>
      </w:pPr>
      <w:r>
        <w:t xml:space="preserve">Supplier (Chemist / Pharmacy Distributor)</w:t>
      </w:r>
    </w:p>
    <w:p>
      <w:pPr>
        <w:pStyle w:val="FirstParagraph"/>
      </w:pPr>
      <w:r>
        <w:rPr>
          <w:bCs/>
          <w:b/>
        </w:rPr>
        <w:t xml:space="preserve">Company:</w:t>
      </w:r>
      <w:r>
        <w:t xml:space="preserve"> </w:t>
      </w:r>
      <w:r>
        <w:t xml:space="preserve">Quimifarma Distribuciones Ltda.</w:t>
      </w:r>
    </w:p>
    <w:p>
      <w:pPr>
        <w:pStyle w:val="BodyText"/>
      </w:pPr>
      <w:r>
        <w:rPr>
          <w:bCs/>
          <w:b/>
        </w:rPr>
        <w:t xml:space="preserve">Address:</w:t>
      </w:r>
      <w:r>
        <w:t xml:space="preserve"> </w:t>
      </w:r>
      <w:r>
        <w:t xml:space="preserve">Calle San Martín 1280, Providencia, Chile Santiago</w:t>
      </w:r>
    </w:p>
    <w:p>
      <w:pPr>
        <w:pStyle w:val="BodyText"/>
      </w:pPr>
      <w:r>
        <w:rPr>
          <w:bCs/>
          <w:b/>
        </w:rPr>
        <w:t xml:space="preserve">RUT:</w:t>
      </w:r>
      <w:r>
        <w:t xml:space="preserve"> </w:t>
      </w:r>
      <w:r>
        <w:t xml:space="preserve">78.912.345-6</w:t>
      </w:r>
    </w:p>
    <w:p>
      <w:pPr>
        <w:pStyle w:val="BodyText"/>
      </w:pPr>
      <w:r>
        <w:rPr>
          <w:bCs/>
          <w:b/>
        </w:rPr>
        <w:t xml:space="preserve">Contact:</w:t>
      </w:r>
      <w:r>
        <w:t xml:space="preserve"> </w:t>
      </w:r>
      <w:r>
        <w:t xml:space="preserve">Ricardo Fuentes, Sales Director</w:t>
      </w:r>
    </w:p>
    <w:p>
      <w:pPr>
        <w:pStyle w:val="BodyText"/>
      </w:pPr>
      <w:r>
        <w:rPr>
          <w:bCs/>
          <w:b/>
        </w:rPr>
        <w:t xml:space="preserve">Email:</w:t>
      </w:r>
      <w:r>
        <w:t xml:space="preserve"> </w:t>
      </w:r>
      <w:r>
        <w:t xml:space="preserve">rfuentes@quimifarma.cl</w:t>
      </w:r>
    </w:p>
    <w:p>
      <w:pPr>
        <w:pStyle w:val="BodyText"/>
      </w:pPr>
      <w:r>
        <w:rPr>
          <w:bCs/>
          <w:b/>
        </w:rPr>
        <w:t xml:space="preserve">Phone:</w:t>
      </w:r>
      <w:r>
        <w:t xml:space="preserve"> </w:t>
      </w:r>
      <w:r>
        <w:t xml:space="preserve">+56 2 2789 4321</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Amoxicillin 500mg Capsules (24 caps) – Chemist-grade antibiotic</w:t>
            </w:r>
          </w:p>
        </w:tc>
        <w:tc>
          <w:tcPr/>
          <w:p>
            <w:pPr>
              <w:pStyle w:val="Compact"/>
              <w:jc w:val="left"/>
            </w:pPr>
            <w:r>
              <w:t xml:space="preserve">Pharmaceutical</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3,850</w:t>
            </w:r>
          </w:p>
        </w:tc>
        <w:tc>
          <w:tcPr/>
          <w:p>
            <w:pPr>
              <w:pStyle w:val="Compact"/>
              <w:jc w:val="left"/>
            </w:pPr>
            <w:r>
              <w:t xml:space="preserve">1,925,000</w:t>
            </w:r>
          </w:p>
        </w:tc>
      </w:tr>
      <w:tr>
        <w:tc>
          <w:tcPr/>
          <w:p>
            <w:pPr>
              <w:pStyle w:val="Compact"/>
              <w:jc w:val="left"/>
            </w:pPr>
            <w:r>
              <w:t xml:space="preserve">02</w:t>
            </w:r>
          </w:p>
        </w:tc>
        <w:tc>
          <w:tcPr/>
          <w:p>
            <w:pPr>
              <w:pStyle w:val="Compact"/>
              <w:jc w:val="left"/>
            </w:pPr>
            <w:r>
              <w:t xml:space="preserve">Ibuprofen 400mg Tablets (20 tabs) – Chemist OTC analgesic</w:t>
            </w:r>
          </w:p>
        </w:tc>
        <w:tc>
          <w:tcPr/>
          <w:p>
            <w:pPr>
              <w:pStyle w:val="Compact"/>
              <w:jc w:val="left"/>
            </w:pPr>
            <w:r>
              <w:t xml:space="preserve">Pharmaceutical</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1,250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Paracetamol 750mg Syrup 120ml – Chemist pediatric formulation</w:t>
            </w:r>
          </w:p>
        </w:tc>
        <w:tc>
          <w:tcPr/>
          <w:p>
            <w:pPr>
              <w:pStyle w:val="Compact"/>
              <w:jc w:val="left"/>
            </w:pPr>
            <w:r>
              <w:t xml:space="preserve">Pharmaceutical</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2,100</w:t>
            </w:r>
          </w:p>
        </w:tc>
        <w:tc>
          <w:tcPr/>
          <w:p>
            <w:pPr>
              <w:pStyle w:val="Compact"/>
              <w:jc w:val="left"/>
            </w:pPr>
            <w:r>
              <w:t xml:space="preserve">630,000</w:t>
            </w:r>
          </w:p>
        </w:tc>
      </w:tr>
      <w:tr>
        <w:tc>
          <w:tcPr/>
          <w:p>
            <w:pPr>
              <w:pStyle w:val="Compact"/>
              <w:jc w:val="left"/>
            </w:pPr>
            <w:r>
              <w:t xml:space="preserve">04</w:t>
            </w:r>
          </w:p>
        </w:tc>
        <w:tc>
          <w:tcPr/>
          <w:p>
            <w:pPr>
              <w:pStyle w:val="Compact"/>
              <w:jc w:val="left"/>
            </w:pPr>
            <w:r>
              <w:t xml:space="preserve">Sterile Gauze Pads 10x10cm (10-pack) – Chemist wound care</w:t>
            </w:r>
          </w:p>
        </w:tc>
        <w:tc>
          <w:tcPr/>
          <w:p>
            <w:pPr>
              <w:pStyle w:val="Compact"/>
              <w:jc w:val="left"/>
            </w:pPr>
            <w:r>
              <w:t xml:space="preserve">Medical Supply</w:t>
            </w:r>
          </w:p>
        </w:tc>
        <w:tc>
          <w:tcPr/>
          <w:p>
            <w:pPr>
              <w:pStyle w:val="Compact"/>
              <w:jc w:val="left"/>
            </w:pPr>
            <w:r>
              <w:t xml:space="preserve">1,200</w:t>
            </w:r>
          </w:p>
        </w:tc>
        <w:tc>
          <w:tcPr/>
          <w:p>
            <w:pPr>
              <w:pStyle w:val="Compact"/>
              <w:jc w:val="left"/>
            </w:pPr>
            <w:r>
              <w:t xml:space="preserve">Packs</w:t>
            </w:r>
          </w:p>
        </w:tc>
        <w:tc>
          <w:tcPr/>
          <w:p>
            <w:pPr>
              <w:pStyle w:val="Compact"/>
              <w:jc w:val="left"/>
            </w:pPr>
            <w:r>
              <w:t xml:space="preserve">890</w:t>
            </w:r>
          </w:p>
        </w:tc>
        <w:tc>
          <w:tcPr/>
          <w:p>
            <w:pPr>
              <w:pStyle w:val="Compact"/>
              <w:jc w:val="left"/>
            </w:pPr>
            <w:r>
              <w:t xml:space="preserve">1,068,000</w:t>
            </w:r>
          </w:p>
        </w:tc>
      </w:tr>
      <w:tr>
        <w:tc>
          <w:tcPr/>
          <w:p>
            <w:pPr>
              <w:pStyle w:val="Compact"/>
              <w:jc w:val="left"/>
            </w:pPr>
            <w:r>
              <w:t xml:space="preserve">05</w:t>
            </w:r>
          </w:p>
        </w:tc>
        <w:tc>
          <w:tcPr/>
          <w:p>
            <w:pPr>
              <w:pStyle w:val="Compact"/>
              <w:jc w:val="left"/>
            </w:pPr>
            <w:r>
              <w:t xml:space="preserve">Nitrile Examination Gloves (M) – Chemist dispensing use</w:t>
            </w:r>
          </w:p>
        </w:tc>
        <w:tc>
          <w:tcPr/>
          <w:p>
            <w:pPr>
              <w:pStyle w:val="Compact"/>
              <w:jc w:val="left"/>
            </w:pPr>
            <w:r>
              <w:t xml:space="preserve">Medical Supply</w:t>
            </w:r>
          </w:p>
        </w:tc>
        <w:tc>
          <w:tcPr/>
          <w:p>
            <w:pPr>
              <w:pStyle w:val="Compact"/>
              <w:jc w:val="left"/>
            </w:pPr>
            <w:r>
              <w:t xml:space="preserve">2,000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Digital Thermometer (Infrared) – Chemist point-of-care device</w:t>
            </w:r>
          </w:p>
        </w:tc>
        <w:tc>
          <w:tcPr/>
          <w:p>
            <w:pPr>
              <w:pStyle w:val="Compact"/>
              <w:jc w:val="left"/>
            </w:pPr>
            <w:r>
              <w:t xml:space="preserve">Equipment</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962,500</w:t>
            </w:r>
          </w:p>
        </w:tc>
      </w:tr>
      <w:tr>
        <w:tc>
          <w:tcPr/>
          <w:p>
            <w:pPr>
              <w:pStyle w:val="Compact"/>
              <w:jc w:val="left"/>
            </w:pPr>
            <w:r>
              <w:t xml:space="preserve">07</w:t>
            </w:r>
          </w:p>
        </w:tc>
        <w:tc>
          <w:tcPr/>
          <w:p>
            <w:pPr>
              <w:pStyle w:val="Compact"/>
              <w:jc w:val="left"/>
            </w:pPr>
            <w:r>
              <w:t xml:space="preserve">Pharmacy Refrigeration Unit 400L – Chemist cold-chain storage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08</w:t>
            </w:r>
          </w:p>
        </w:tc>
        <w:tc>
          <w:tcPr/>
          <w:p>
            <w:pPr>
              <w:pStyle w:val="Compact"/>
              <w:jc w:val="left"/>
            </w:pPr>
            <w:r>
              <w:t xml:space="preserve">Pharmaceutical Compounding Mortar &amp; Pestle Set – Chemist preparation</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12,800</w:t>
            </w:r>
          </w:p>
        </w:tc>
        <w:tc>
          <w:tcPr/>
          <w:p>
            <w:pPr>
              <w:pStyle w:val="Compact"/>
              <w:jc w:val="left"/>
            </w:pPr>
            <w:r>
              <w:t xml:space="preserve">128,000</w:t>
            </w:r>
          </w:p>
        </w:tc>
      </w:tr>
      <w:tr>
        <w:tc>
          <w:tcPr/>
          <w:p>
            <w:pPr>
              <w:pStyle w:val="Compact"/>
              <w:jc w:val="left"/>
            </w:pPr>
            <w:r>
              <w:t xml:space="preserve">09</w:t>
            </w:r>
          </w:p>
        </w:tc>
        <w:tc>
          <w:tcPr/>
          <w:p>
            <w:pPr>
              <w:pStyle w:val="Compact"/>
              <w:jc w:val="left"/>
            </w:pPr>
            <w:r>
              <w:t xml:space="preserve">Antiseptic Solution Chlorhexidine 2% (500ml) – Chemist sterilization</w:t>
            </w:r>
          </w:p>
        </w:tc>
        <w:tc>
          <w:tcPr/>
          <w:p>
            <w:pPr>
              <w:pStyle w:val="Compact"/>
              <w:jc w:val="left"/>
            </w:pPr>
            <w:r>
              <w:t xml:space="preserve">Chemical</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3,200</w:t>
            </w:r>
          </w:p>
        </w:tc>
        <w:tc>
          <w:tcPr/>
          <w:p>
            <w:pPr>
              <w:pStyle w:val="Compact"/>
              <w:jc w:val="left"/>
            </w:pPr>
            <w:r>
              <w:t xml:space="preserve">1,280,000</w:t>
            </w:r>
          </w:p>
        </w:tc>
      </w:tr>
      <w:tr>
        <w:tc>
          <w:tcPr/>
          <w:p>
            <w:pPr>
              <w:pStyle w:val="Compact"/>
              <w:jc w:val="left"/>
            </w:pPr>
            <w:r>
              <w:t xml:space="preserve">10</w:t>
            </w:r>
          </w:p>
        </w:tc>
        <w:tc>
          <w:tcPr/>
          <w:p>
            <w:pPr>
              <w:pStyle w:val="Compact"/>
              <w:jc w:val="left"/>
            </w:pPr>
            <w:r>
              <w:t xml:space="preserve">Pharmacy Label Printer with Thermal Rolls – Chemist dispensing system</w:t>
            </w:r>
          </w:p>
        </w:tc>
        <w:tc>
          <w:tcPr/>
          <w:p>
            <w:pPr>
              <w:pStyle w:val="Compact"/>
              <w:jc w:val="left"/>
            </w:pPr>
            <w:r>
              <w:t xml:space="preserve">Equipment</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725,000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19,498,500</w:t>
            </w:r>
          </w:p>
        </w:tc>
      </w:tr>
      <w:tr>
        <w:tc>
          <w:tcPr/>
          <w:p>
            <w:pPr>
              <w:pStyle w:val="Compact"/>
              <w:jc w:val="left"/>
            </w:pPr>
            <w:r>
              <w:t xml:space="preserve">IVA (19% – Chilean VAT)</w:t>
            </w:r>
          </w:p>
        </w:tc>
        <w:tc>
          <w:tcPr/>
          <w:p>
            <w:pPr>
              <w:pStyle w:val="Compact"/>
              <w:jc w:val="right"/>
            </w:pPr>
            <w:r>
              <w:t xml:space="preserve">3,704,715</w:t>
            </w:r>
          </w:p>
        </w:tc>
      </w:tr>
      <w:tr>
        <w:tc>
          <w:tcPr/>
          <w:p>
            <w:pPr>
              <w:pStyle w:val="Compact"/>
              <w:jc w:val="left"/>
            </w:pPr>
            <w:r>
              <w:t xml:space="preserve">Freight &amp; Delivery (Chile Santiago metro area)</w:t>
            </w:r>
          </w:p>
        </w:tc>
        <w:tc>
          <w:tcPr/>
          <w:p>
            <w:pPr>
              <w:pStyle w:val="Compact"/>
              <w:jc w:val="right"/>
            </w:pPr>
            <w:r>
              <w:t xml:space="preserve">185,000</w:t>
            </w:r>
          </w:p>
        </w:tc>
      </w:tr>
      <w:tr>
        <w:tc>
          <w:tcPr/>
          <w:p>
            <w:pPr>
              <w:pStyle w:val="Compact"/>
              <w:jc w:val="left"/>
            </w:pPr>
            <w:r>
              <w:t xml:space="preserve">Cold-Chain Handling Surcharge</w:t>
            </w:r>
          </w:p>
        </w:tc>
        <w:tc>
          <w:tcPr/>
          <w:p>
            <w:pPr>
              <w:pStyle w:val="Compact"/>
              <w:jc w:val="right"/>
            </w:pPr>
            <w:r>
              <w:t xml:space="preserve">95,000</w:t>
            </w:r>
          </w:p>
        </w:tc>
      </w:tr>
      <w:tr>
        <w:tc>
          <w:tcPr/>
          <w:p>
            <w:pPr>
              <w:pStyle w:val="Compact"/>
              <w:jc w:val="left"/>
            </w:pPr>
            <w:r>
              <w:t xml:space="preserve">GRAND TOTAL (CLP)</w:t>
            </w:r>
          </w:p>
        </w:tc>
        <w:tc>
          <w:tcPr/>
          <w:p>
            <w:pPr>
              <w:pStyle w:val="Compact"/>
              <w:jc w:val="right"/>
            </w:pPr>
            <w:r>
              <w:t xml:space="preserve">23,483,215</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receipt. Payment shall be made via electronic bank transfer (transferencia electrónica) to the supplier's account in Chile Santiago. The supplier's RUT must be referenced on all payment documentation in compliance with Chilean tax regulations (SII – Servicio de Impuestos Internos).</w:t>
      </w:r>
    </w:p>
    <w:p>
      <w:pPr>
        <w:numPr>
          <w:ilvl w:val="0"/>
          <w:numId w:val="1001"/>
        </w:numPr>
        <w:pStyle w:val="Compact"/>
      </w:pPr>
      <w:r>
        <w:rPr>
          <w:bCs/>
          <w:b/>
        </w:rPr>
        <w:t xml:space="preserve">Delivery:</w:t>
      </w:r>
      <w:r>
        <w:t xml:space="preserve"> </w:t>
      </w:r>
      <w:r>
        <w:t xml:space="preserve">All goods listed in this Purchase Order must be delivered to the buyer's warehouse located in Chile Santiago, Av. Apoquindo 4560, Las Condes. Delivery must occur between 08:00 and 17:00 hours, Monday through Friday. The Chemist supplier is responsible for all packaging, labeling, and cold-chain integrity during transit within the Chile Santiago metropolitan region.</w:t>
      </w:r>
    </w:p>
    <w:p>
      <w:pPr>
        <w:numPr>
          <w:ilvl w:val="0"/>
          <w:numId w:val="1001"/>
        </w:numPr>
        <w:pStyle w:val="Compact"/>
      </w:pPr>
      <w:r>
        <w:rPr>
          <w:bCs/>
          <w:b/>
        </w:rPr>
        <w:t xml:space="preserve">Quality Assurance:</w:t>
      </w:r>
      <w:r>
        <w:t xml:space="preserve"> </w:t>
      </w:r>
      <w:r>
        <w:t xml:space="preserve">All pharmaceutical products supplied under this Purchase Order must comply with the regulations established by the Instituto de Salud Pública de Chile (ISP) and the Agencia Nacional de Medicamentos. The Chemist supplier must provide Certificates of Analysis (CoA) and batch traceability documentation for every pharmaceutical lot delivered.</w:t>
      </w:r>
    </w:p>
    <w:p>
      <w:pPr>
        <w:numPr>
          <w:ilvl w:val="0"/>
          <w:numId w:val="1001"/>
        </w:numPr>
        <w:pStyle w:val="Compact"/>
      </w:pPr>
      <w:r>
        <w:rPr>
          <w:bCs/>
          <w:b/>
        </w:rPr>
        <w:t xml:space="preserve">Acceptance &amp; Inspection:</w:t>
      </w:r>
      <w:r>
        <w:t xml:space="preserve"> </w:t>
      </w:r>
      <w:r>
        <w:t xml:space="preserve">The buyer reserves the right to inspect all items upon arrival at the Chile Santiago receiving facility. Any discrepancies in quantity, condition, or product integrity must be reported within 48 hours of delivery. Rejected items will be returned at the Chemist supplier's expense.</w:t>
      </w:r>
    </w:p>
    <w:p>
      <w:pPr>
        <w:numPr>
          <w:ilvl w:val="0"/>
          <w:numId w:val="1001"/>
        </w:numPr>
        <w:pStyle w:val="Compact"/>
      </w:pPr>
      <w:r>
        <w:rPr>
          <w:bCs/>
          <w:b/>
        </w:rPr>
        <w:t xml:space="preserve">Regulatory Compliance:</w:t>
      </w:r>
      <w:r>
        <w:t xml:space="preserve"> </w:t>
      </w:r>
      <w:r>
        <w:t xml:space="preserve">The Chemist supplier warrants that all products are legally registered for sale in Chile and that all necessary permits, sanitary registrations, and import authorizations (where applicable) are current and valid. Non-compliance will result in immediate termination of this Purchase Order and potential legal action under Chilean consumer and pharmaceutical law.</w:t>
      </w:r>
    </w:p>
    <w:p>
      <w:pPr>
        <w:numPr>
          <w:ilvl w:val="0"/>
          <w:numId w:val="1001"/>
        </w:numPr>
        <w:pStyle w:val="Compact"/>
      </w:pPr>
      <w:r>
        <w:rPr>
          <w:bCs/>
          <w:b/>
        </w:rPr>
        <w:t xml:space="preserve">Warranty:</w:t>
      </w:r>
      <w:r>
        <w:t xml:space="preserve"> </w:t>
      </w:r>
      <w:r>
        <w:t xml:space="preserve">All equipment items (thermometers, refrigeration units, label printers, compounding sets) carry a minimum 12-month manufacturer warranty from the date of delivery in Chile Santiago. The Chemist supplier shall coordinate all warranty claims and replacements within 10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Chile Santiago region. Affected parties must notify the other within 5 business days.</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Chile. Any disputes arising from this agreement shall be resolved in the competent courts of Chile Santiago, Metropolitan Region.</w:t>
      </w:r>
    </w:p>
    <w:p>
      <w:pPr>
        <w:numPr>
          <w:ilvl w:val="0"/>
          <w:numId w:val="1001"/>
        </w:numPr>
        <w:pStyle w:val="Compact"/>
      </w:pPr>
      <w:r>
        <w:rPr>
          <w:bCs/>
          <w:b/>
        </w:rPr>
        <w:t xml:space="preserve">Confidentiality:</w:t>
      </w:r>
      <w:r>
        <w:t xml:space="preserve"> </w:t>
      </w:r>
      <w:r>
        <w:t xml:space="preserve">All pricing, product formulations, and business terms contained in this Purchase Order are confidential. The Chemist supplier agrees not to disclose buyer-specific pricing or order volumes to third parties without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regarding changes to scope, quantity, or pricing are not binding.</w:t>
      </w:r>
    </w:p>
    <w:p>
      <w:pPr>
        <w:pStyle w:val="FirstParagraph"/>
      </w:pPr>
      <w:r>
        <w:t xml:space="preserve">Authorized Signatures</w:t>
      </w:r>
    </w:p>
    <w:p>
      <w:pPr>
        <w:pStyle w:val="BodyText"/>
      </w:pPr>
      <w:r>
        <w:rPr>
          <w:bCs/>
          <w:b/>
        </w:rPr>
        <w:t xml:space="preserve">For the Purchasing Entity (Buyer):</w:t>
      </w:r>
    </w:p>
    <w:p>
      <w:pPr>
        <w:pStyle w:val="BodyText"/>
      </w:pPr>
      <w:r>
        <w:t xml:space="preserve">Farmacía Central Andina SpA</w:t>
      </w:r>
    </w:p>
    <w:p>
      <w:pPr>
        <w:pStyle w:val="BodyText"/>
      </w:pPr>
      <w:r>
        <w:rPr>
          <w:bCs/>
          <w:b/>
        </w:rPr>
        <w:t xml:space="preserve">Name:</w:t>
      </w:r>
      <w:r>
        <w:t xml:space="preserve"> </w:t>
      </w:r>
      <w:r>
        <w:t xml:space="preserve">María José Contreras</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the Supplier (Chemist):</w:t>
      </w:r>
    </w:p>
    <w:p>
      <w:pPr>
        <w:pStyle w:val="BodyText"/>
      </w:pPr>
      <w:r>
        <w:t xml:space="preserve">Quimifarma Distribuciones Ltda.</w:t>
      </w:r>
    </w:p>
    <w:p>
      <w:pPr>
        <w:pStyle w:val="BodyText"/>
      </w:pPr>
      <w:r>
        <w:rPr>
          <w:bCs/>
          <w:b/>
        </w:rPr>
        <w:t xml:space="preserve">Name:</w:t>
      </w:r>
      <w:r>
        <w:t xml:space="preserve"> </w:t>
      </w:r>
      <w:r>
        <w:t xml:space="preserve">Ricardo Fuentes</w:t>
      </w:r>
    </w:p>
    <w:p>
      <w:pPr>
        <w:pStyle w:val="BodyText"/>
      </w:pPr>
      <w:r>
        <w:rPr>
          <w:bCs/>
          <w:b/>
        </w:rPr>
        <w:t xml:space="preserve">Title:</w:t>
      </w:r>
      <w:r>
        <w:t xml:space="preserve"> </w:t>
      </w:r>
      <w:r>
        <w:t xml:space="preserve">Sales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(PO-CL-SGO-2025-04871) constitutes a binding commercial agreement between the parties identified herein for the procurement of pharmaceutical products, medical supplies, and equipment from the Chemist supplier Quimifarma Distribuciones Ltda. for delivery within Chile Santiago. All transactions are subject to Chilean commercial law, SII tax reporting requirements, and ISP pharmaceutical regulations. This document is valid for a period of 30 calendar days from the date of issue. For inquiries regarding this Purchase Order, contact the Procurement Department at Farmacía Central Andina SpA,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Chile Santiago</dc:title>
  <dc:creator/>
  <dc:language>en</dc:language>
  <cp:keywords/>
  <dcterms:created xsi:type="dcterms:W3CDTF">2026-10-10T04:04:15Z</dcterms:created>
  <dcterms:modified xsi:type="dcterms:W3CDTF">2026-10-10T04:04:15Z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