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Chemist Supply Procurement — China Guangzhou Region</w:t>
      </w:r>
    </w:p>
    <w:p>
      <w:pPr>
        <w:pStyle w:val="BodyText"/>
      </w:pPr>
      <w:r>
        <w:t xml:space="preserve">Document Reference: PO-GZ-2025-00472</w:t>
      </w:r>
    </w:p>
    <w:bookmarkEnd w:id="20"/>
    <w:p>
      <w:pPr>
        <w:pStyle w:val="BodyText"/>
      </w:pPr>
      <w:r>
        <w:rPr>
          <w:bCs/>
          <w:b/>
        </w:rPr>
        <w:t xml:space="preserve">Purchase Order No.:</w:t>
      </w:r>
      <w:r>
        <w:t xml:space="preserve"> </w:t>
      </w:r>
      <w:r>
        <w:t xml:space="preserve">PO-GZ-2025-00472</w:t>
      </w:r>
      <w:r>
        <w:br/>
      </w:r>
      <w:r>
        <w:rPr>
          <w:bCs/>
          <w:b/>
        </w:rPr>
        <w:t xml:space="preserve">Date of Issue:</w:t>
      </w:r>
      <w:r>
        <w:t xml:space="preserve"> </w:t>
      </w:r>
      <w:r>
        <w:t xml:space="preserve">15 June 2025</w:t>
      </w:r>
      <w:r>
        <w:br/>
      </w:r>
      <w:r>
        <w:rPr>
          <w:bCs/>
          <w:b/>
        </w:rPr>
        <w:t xml:space="preserve">Validity Period:</w:t>
      </w:r>
      <w:r>
        <w:t xml:space="preserve"> </w:t>
      </w:r>
      <w:r>
        <w:t xml:space="preserve">30 days from issue date</w:t>
      </w:r>
    </w:p>
    <w:p>
      <w:pPr>
        <w:pStyle w:val="BodyText"/>
      </w:pPr>
      <w:r>
        <w:rPr>
          <w:bCs/>
          <w:b/>
        </w:rPr>
        <w:t xml:space="preserve">Payment Terms:</w:t>
      </w:r>
      <w:r>
        <w:t xml:space="preserve"> </w:t>
      </w:r>
      <w:r>
        <w:t xml:space="preserve">Net 45 Days</w:t>
      </w:r>
      <w:r>
        <w:br/>
      </w:r>
      <w:r>
        <w:rPr>
          <w:bCs/>
          <w:b/>
        </w:rPr>
        <w:t xml:space="preserve">Incoterms:</w:t>
      </w:r>
      <w:r>
        <w:t xml:space="preserve"> </w:t>
      </w:r>
      <w:r>
        <w:t xml:space="preserve">DAP Guangzhou</w:t>
      </w:r>
      <w:r>
        <w:br/>
      </w:r>
      <w:r>
        <w:rPr>
          <w:bCs/>
          <w:b/>
        </w:rPr>
        <w:t xml:space="preserve">Currency:</w:t>
      </w:r>
      <w:r>
        <w:t xml:space="preserve"> </w:t>
      </w:r>
      <w:r>
        <w:t xml:space="preserve">Chinese Yuan (CNY / RMB)</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Guangzhou Pharmaceutical Distribution Co., Ltd.</w:t>
      </w:r>
      <w:r>
        <w:br/>
      </w:r>
      <w:r>
        <w:t xml:space="preserve">No. 88 Tianhe Avenue, Tianhe District</w:t>
      </w:r>
      <w:r>
        <w:br/>
      </w:r>
      <w:r>
        <w:t xml:space="preserve">Guangzhou, Guangdong Province, China 510630</w:t>
      </w:r>
      <w:r>
        <w:br/>
      </w:r>
      <w:r>
        <w:t xml:space="preserve">Tax ID: 91440101MA5C8X2K7P</w:t>
      </w:r>
      <w:r>
        <w:br/>
      </w:r>
      <w:r>
        <w:t xml:space="preserve">Contact: Mr. Liang Wei, Procurement Director</w:t>
      </w:r>
      <w:r>
        <w:br/>
      </w:r>
      <w:r>
        <w:t xml:space="preserve">Email: procurement@gzpharma.cn</w:t>
      </w:r>
      <w:r>
        <w:br/>
      </w:r>
      <w:r>
        <w:t xml:space="preserve">Tel: +86-20-8876-4521</w:t>
      </w:r>
    </w:p>
    <w:bookmarkEnd w:id="21"/>
    <w:bookmarkStart w:id="22" w:name="supplier-chemist"/>
    <w:p>
      <w:pPr>
        <w:pStyle w:val="Heading3"/>
      </w:pPr>
      <w:r>
        <w:t xml:space="preserve">Supplier (Chemist)</w:t>
      </w:r>
    </w:p>
    <w:p>
      <w:pPr>
        <w:pStyle w:val="FirstParagraph"/>
      </w:pPr>
      <w:r>
        <w:rPr>
          <w:bCs/>
          <w:b/>
        </w:rPr>
        <w:t xml:space="preserve">Guangzhou Chemist &amp; Chemical Supply House</w:t>
      </w:r>
      <w:r>
        <w:br/>
      </w:r>
      <w:r>
        <w:t xml:space="preserve">Unit 12, Building 5, Baiyun Industrial Zone</w:t>
      </w:r>
      <w:r>
        <w:br/>
      </w:r>
      <w:r>
        <w:t xml:space="preserve">Baiyun District, Guangzhou, Guangdong Province, China 510430</w:t>
      </w:r>
      <w:r>
        <w:br/>
      </w:r>
      <w:r>
        <w:t xml:space="preserve">Business License: 440111009876543</w:t>
      </w:r>
      <w:r>
        <w:br/>
      </w:r>
      <w:r>
        <w:t xml:space="preserve">Contact: Dr. Chen Xiaomei, Head Chemist</w:t>
      </w:r>
      <w:r>
        <w:br/>
      </w:r>
      <w:r>
        <w:t xml:space="preserve">Email: sales@gzchemist.cn</w:t>
      </w:r>
      <w:r>
        <w:br/>
      </w:r>
      <w:r>
        <w:t xml:space="preserve">Tel: +86-20-3812-7790</w:t>
      </w:r>
    </w:p>
    <w:bookmarkEnd w:id="22"/>
    <w:p>
      <w:pPr>
        <w:pStyle w:val="BodyText"/>
      </w:pPr>
      <w:r>
        <w:t xml:space="preserve">ITEMS ORDERED UNDER THIS PURCHASE ORDER</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Chemist Catalog Ref.</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Amount (CNY)</w:t>
            </w:r>
          </w:p>
        </w:tc>
      </w:tr>
      <w:tr>
        <w:tc>
          <w:tcPr/>
          <w:p>
            <w:pPr>
              <w:pStyle w:val="Compact"/>
              <w:jc w:val="left"/>
            </w:pPr>
            <w:r>
              <w:t xml:space="preserve">1</w:t>
            </w:r>
          </w:p>
        </w:tc>
        <w:tc>
          <w:tcPr/>
          <w:p>
            <w:pPr>
              <w:pStyle w:val="Compact"/>
              <w:jc w:val="left"/>
            </w:pPr>
            <w:r>
              <w:t xml:space="preserve">Pharmaceutical-Grade Ethanol (99.5% purity), bulk chemical reagent</w:t>
            </w:r>
          </w:p>
        </w:tc>
        <w:tc>
          <w:tcPr/>
          <w:p>
            <w:pPr>
              <w:pStyle w:val="Compact"/>
              <w:jc w:val="left"/>
            </w:pPr>
            <w:r>
              <w:t xml:space="preserve">CHM-ETH-995</w:t>
            </w:r>
          </w:p>
        </w:tc>
        <w:tc>
          <w:tcPr/>
          <w:p>
            <w:pPr>
              <w:pStyle w:val="Compact"/>
              <w:jc w:val="left"/>
            </w:pPr>
            <w:r>
              <w:t xml:space="preserve">200</w:t>
            </w:r>
          </w:p>
        </w:tc>
        <w:tc>
          <w:tcPr/>
          <w:p>
            <w:pPr>
              <w:pStyle w:val="Compact"/>
              <w:jc w:val="left"/>
            </w:pPr>
            <w:r>
              <w:t xml:space="preserve">Litres</w:t>
            </w:r>
          </w:p>
        </w:tc>
        <w:tc>
          <w:tcPr/>
          <w:p>
            <w:pPr>
              <w:pStyle w:val="Compact"/>
              <w:jc w:val="left"/>
            </w:pPr>
            <w:r>
              <w:t xml:space="preserve">48.50</w:t>
            </w:r>
          </w:p>
        </w:tc>
        <w:tc>
          <w:tcPr/>
          <w:p>
            <w:pPr>
              <w:pStyle w:val="Compact"/>
              <w:jc w:val="left"/>
            </w:pPr>
            <w:r>
              <w:t xml:space="preserve">9,700.00</w:t>
            </w:r>
          </w:p>
        </w:tc>
      </w:tr>
      <w:tr>
        <w:tc>
          <w:tcPr/>
          <w:p>
            <w:pPr>
              <w:pStyle w:val="Compact"/>
              <w:jc w:val="left"/>
            </w:pPr>
            <w:r>
              <w:t xml:space="preserve">2</w:t>
            </w:r>
          </w:p>
        </w:tc>
        <w:tc>
          <w:tcPr/>
          <w:p>
            <w:pPr>
              <w:pStyle w:val="Compact"/>
              <w:jc w:val="left"/>
            </w:pPr>
            <w:r>
              <w:t xml:space="preserve">Sodium Chloride, USP/EP Grade, for pharmaceutical formulation</w:t>
            </w:r>
          </w:p>
        </w:tc>
        <w:tc>
          <w:tcPr/>
          <w:p>
            <w:pPr>
              <w:pStyle w:val="Compact"/>
              <w:jc w:val="left"/>
            </w:pPr>
            <w:r>
              <w:t xml:space="preserve">CHM-NACL-USP</w:t>
            </w:r>
          </w:p>
        </w:tc>
        <w:tc>
          <w:tcPr/>
          <w:p>
            <w:pPr>
              <w:pStyle w:val="Compact"/>
              <w:jc w:val="left"/>
            </w:pPr>
            <w:r>
              <w:t xml:space="preserve">500</w:t>
            </w:r>
          </w:p>
        </w:tc>
        <w:tc>
          <w:tcPr/>
          <w:p>
            <w:pPr>
              <w:pStyle w:val="Compact"/>
              <w:jc w:val="left"/>
            </w:pPr>
            <w:r>
              <w:t xml:space="preserve">Kg</w:t>
            </w:r>
          </w:p>
        </w:tc>
        <w:tc>
          <w:tcPr/>
          <w:p>
            <w:pPr>
              <w:pStyle w:val="Compact"/>
              <w:jc w:val="left"/>
            </w:pPr>
            <w:r>
              <w:t xml:space="preserve">12.80</w:t>
            </w:r>
          </w:p>
        </w:tc>
        <w:tc>
          <w:tcPr/>
          <w:p>
            <w:pPr>
              <w:pStyle w:val="Compact"/>
              <w:jc w:val="left"/>
            </w:pPr>
            <w:r>
              <w:t xml:space="preserve">6,400.00</w:t>
            </w:r>
          </w:p>
        </w:tc>
      </w:tr>
      <w:tr>
        <w:tc>
          <w:tcPr/>
          <w:p>
            <w:pPr>
              <w:pStyle w:val="Compact"/>
              <w:jc w:val="left"/>
            </w:pPr>
            <w:r>
              <w:t xml:space="preserve">3</w:t>
            </w:r>
          </w:p>
        </w:tc>
        <w:tc>
          <w:tcPr/>
          <w:p>
            <w:pPr>
              <w:pStyle w:val="Compact"/>
              <w:jc w:val="left"/>
            </w:pPr>
            <w:r>
              <w:t xml:space="preserve">Acetone, HPLC Grade, analytical reagent for laboratory use</w:t>
            </w:r>
          </w:p>
        </w:tc>
        <w:tc>
          <w:tcPr/>
          <w:p>
            <w:pPr>
              <w:pStyle w:val="Compact"/>
              <w:jc w:val="left"/>
            </w:pPr>
            <w:r>
              <w:t xml:space="preserve">CHM-ACE-HPLC</w:t>
            </w:r>
          </w:p>
        </w:tc>
        <w:tc>
          <w:tcPr/>
          <w:p>
            <w:pPr>
              <w:pStyle w:val="Compact"/>
              <w:jc w:val="left"/>
            </w:pPr>
            <w:r>
              <w:t xml:space="preserve">150</w:t>
            </w:r>
          </w:p>
        </w:tc>
        <w:tc>
          <w:tcPr/>
          <w:p>
            <w:pPr>
              <w:pStyle w:val="Compact"/>
              <w:jc w:val="left"/>
            </w:pPr>
            <w:r>
              <w:t xml:space="preserve">Litres</w:t>
            </w:r>
          </w:p>
        </w:tc>
        <w:tc>
          <w:tcPr/>
          <w:p>
            <w:pPr>
              <w:pStyle w:val="Compact"/>
              <w:jc w:val="left"/>
            </w:pPr>
            <w:r>
              <w:t xml:space="preserve">85.00</w:t>
            </w:r>
          </w:p>
        </w:tc>
        <w:tc>
          <w:tcPr/>
          <w:p>
            <w:pPr>
              <w:pStyle w:val="Compact"/>
              <w:jc w:val="left"/>
            </w:pPr>
            <w:r>
              <w:t xml:space="preserve">12,750.00</w:t>
            </w:r>
          </w:p>
        </w:tc>
      </w:tr>
      <w:tr>
        <w:tc>
          <w:tcPr/>
          <w:p>
            <w:pPr>
              <w:pStyle w:val="Compact"/>
              <w:jc w:val="left"/>
            </w:pPr>
            <w:r>
              <w:t xml:space="preserve">4</w:t>
            </w:r>
          </w:p>
        </w:tc>
        <w:tc>
          <w:tcPr/>
          <w:p>
            <w:pPr>
              <w:pStyle w:val="Compact"/>
              <w:jc w:val="left"/>
            </w:pPr>
            <w:r>
              <w:t xml:space="preserve">Paracetamol API (Active Pharmaceutical Ingredient), 98% minimum purity</w:t>
            </w:r>
          </w:p>
        </w:tc>
        <w:tc>
          <w:tcPr/>
          <w:p>
            <w:pPr>
              <w:pStyle w:val="Compact"/>
              <w:jc w:val="left"/>
            </w:pPr>
            <w:r>
              <w:t xml:space="preserve">CHM-API-PCM</w:t>
            </w:r>
          </w:p>
        </w:tc>
        <w:tc>
          <w:tcPr/>
          <w:p>
            <w:pPr>
              <w:pStyle w:val="Compact"/>
              <w:jc w:val="left"/>
            </w:pPr>
            <w:r>
              <w:t xml:space="preserve">300</w:t>
            </w:r>
          </w:p>
        </w:tc>
        <w:tc>
          <w:tcPr/>
          <w:p>
            <w:pPr>
              <w:pStyle w:val="Compact"/>
              <w:jc w:val="left"/>
            </w:pPr>
            <w:r>
              <w:t xml:space="preserve">Kg</w:t>
            </w:r>
          </w:p>
        </w:tc>
        <w:tc>
          <w:tcPr/>
          <w:p>
            <w:pPr>
              <w:pStyle w:val="Compact"/>
              <w:jc w:val="left"/>
            </w:pPr>
            <w:r>
              <w:t xml:space="preserve">320.00</w:t>
            </w:r>
          </w:p>
        </w:tc>
        <w:tc>
          <w:tcPr/>
          <w:p>
            <w:pPr>
              <w:pStyle w:val="Compact"/>
              <w:jc w:val="left"/>
            </w:pPr>
            <w:r>
              <w:t xml:space="preserve">96,000.00</w:t>
            </w:r>
          </w:p>
        </w:tc>
      </w:tr>
      <w:tr>
        <w:tc>
          <w:tcPr/>
          <w:p>
            <w:pPr>
              <w:pStyle w:val="Compact"/>
              <w:jc w:val="left"/>
            </w:pPr>
            <w:r>
              <w:t xml:space="preserve">5</w:t>
            </w:r>
          </w:p>
        </w:tc>
        <w:tc>
          <w:tcPr/>
          <w:p>
            <w:pPr>
              <w:pStyle w:val="Compact"/>
              <w:jc w:val="left"/>
            </w:pPr>
            <w:r>
              <w:t xml:space="preserve">Amber Glass Vials, 10 mL, with PTFE-lined caps, for chemical storage</w:t>
            </w:r>
          </w:p>
        </w:tc>
        <w:tc>
          <w:tcPr/>
          <w:p>
            <w:pPr>
              <w:pStyle w:val="Compact"/>
              <w:jc w:val="left"/>
            </w:pPr>
            <w:r>
              <w:t xml:space="preserve">CHM-VIL-10ML</w:t>
            </w:r>
          </w:p>
        </w:tc>
        <w:tc>
          <w:tcPr/>
          <w:p>
            <w:pPr>
              <w:pStyle w:val="Compact"/>
              <w:jc w:val="left"/>
            </w:pPr>
            <w:r>
              <w:t xml:space="preserve">5,000</w:t>
            </w:r>
          </w:p>
        </w:tc>
        <w:tc>
          <w:tcPr/>
          <w:p>
            <w:pPr>
              <w:pStyle w:val="Compact"/>
              <w:jc w:val="left"/>
            </w:pPr>
            <w:r>
              <w:t xml:space="preserve">Pieces</w:t>
            </w:r>
          </w:p>
        </w:tc>
        <w:tc>
          <w:tcPr/>
          <w:p>
            <w:pPr>
              <w:pStyle w:val="Compact"/>
              <w:jc w:val="left"/>
            </w:pPr>
            <w:r>
              <w:t xml:space="preserve">3.20</w:t>
            </w:r>
          </w:p>
        </w:tc>
        <w:tc>
          <w:tcPr/>
          <w:p>
            <w:pPr>
              <w:pStyle w:val="Compact"/>
              <w:jc w:val="left"/>
            </w:pPr>
            <w:r>
              <w:t xml:space="preserve">16,000.00</w:t>
            </w:r>
          </w:p>
        </w:tc>
      </w:tr>
      <w:tr>
        <w:tc>
          <w:tcPr/>
          <w:p>
            <w:pPr>
              <w:pStyle w:val="Compact"/>
              <w:jc w:val="left"/>
            </w:pPr>
            <w:r>
              <w:t xml:space="preserve">6</w:t>
            </w:r>
          </w:p>
        </w:tc>
        <w:tc>
          <w:tcPr/>
          <w:p>
            <w:pPr>
              <w:pStyle w:val="Compact"/>
              <w:jc w:val="left"/>
            </w:pPr>
            <w:r>
              <w:t xml:space="preserve">Hydrogen Peroxide, 30% w/v, for laboratory and industrial cleaning</w:t>
            </w:r>
          </w:p>
        </w:tc>
        <w:tc>
          <w:tcPr/>
          <w:p>
            <w:pPr>
              <w:pStyle w:val="Compact"/>
              <w:jc w:val="left"/>
            </w:pPr>
            <w:r>
              <w:t xml:space="preserve">CHM-H2O2-30</w:t>
            </w:r>
          </w:p>
        </w:tc>
        <w:tc>
          <w:tcPr/>
          <w:p>
            <w:pPr>
              <w:pStyle w:val="Compact"/>
              <w:jc w:val="left"/>
            </w:pPr>
            <w:r>
              <w:t xml:space="preserve">80</w:t>
            </w:r>
          </w:p>
        </w:tc>
        <w:tc>
          <w:tcPr/>
          <w:p>
            <w:pPr>
              <w:pStyle w:val="Compact"/>
              <w:jc w:val="left"/>
            </w:pPr>
            <w:r>
              <w:t xml:space="preserve">Litres</w:t>
            </w:r>
          </w:p>
        </w:tc>
        <w:tc>
          <w:tcPr/>
          <w:p>
            <w:pPr>
              <w:pStyle w:val="Compact"/>
              <w:jc w:val="left"/>
            </w:pPr>
            <w:r>
              <w:t xml:space="preserve">62.00</w:t>
            </w:r>
          </w:p>
        </w:tc>
        <w:tc>
          <w:tcPr/>
          <w:p>
            <w:pPr>
              <w:pStyle w:val="Compact"/>
              <w:jc w:val="left"/>
            </w:pPr>
            <w:r>
              <w:t xml:space="preserve">4,960.00</w:t>
            </w:r>
          </w:p>
        </w:tc>
      </w:tr>
      <w:tr>
        <w:tc>
          <w:tcPr/>
          <w:p>
            <w:pPr>
              <w:pStyle w:val="Compact"/>
              <w:jc w:val="left"/>
            </w:pPr>
            <w:r>
              <w:t xml:space="preserve">7</w:t>
            </w:r>
          </w:p>
        </w:tc>
        <w:tc>
          <w:tcPr/>
          <w:p>
            <w:pPr>
              <w:pStyle w:val="Compact"/>
              <w:jc w:val="left"/>
            </w:pPr>
            <w:r>
              <w:t xml:space="preserve">Lab-Grade Distilled Water, 25 L drums, for chemical dilution</w:t>
            </w:r>
          </w:p>
        </w:tc>
        <w:tc>
          <w:tcPr/>
          <w:p>
            <w:pPr>
              <w:pStyle w:val="Compact"/>
              <w:jc w:val="left"/>
            </w:pPr>
            <w:r>
              <w:t xml:space="preserve">CHM-WTR-25L</w:t>
            </w:r>
          </w:p>
        </w:tc>
        <w:tc>
          <w:tcPr/>
          <w:p>
            <w:pPr>
              <w:pStyle w:val="Compact"/>
              <w:jc w:val="left"/>
            </w:pPr>
            <w:r>
              <w:t xml:space="preserve">40</w:t>
            </w:r>
          </w:p>
        </w:tc>
        <w:tc>
          <w:tcPr/>
          <w:p>
            <w:pPr>
              <w:pStyle w:val="Compact"/>
              <w:jc w:val="left"/>
            </w:pPr>
            <w:r>
              <w:t xml:space="preserve">Drums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8</w:t>
            </w:r>
          </w:p>
        </w:tc>
        <w:tc>
          <w:tcPr/>
          <w:p>
            <w:pPr>
              <w:pStyle w:val="Compact"/>
              <w:jc w:val="left"/>
            </w:pPr>
            <w:r>
              <w:t xml:space="preserve">Chemist-Prepared Buffer Solutions, pH 4.0 / 7.0 / 10.0, 1 L each</w:t>
            </w:r>
          </w:p>
        </w:tc>
        <w:tc>
          <w:tcPr/>
          <w:p>
            <w:pPr>
              <w:pStyle w:val="Compact"/>
              <w:jc w:val="left"/>
            </w:pPr>
            <w:r>
              <w:t xml:space="preserve">CHM-BUF-SET</w:t>
            </w:r>
          </w:p>
        </w:tc>
        <w:tc>
          <w:tcPr/>
          <w:p>
            <w:pPr>
              <w:pStyle w:val="Compact"/>
              <w:jc w:val="left"/>
            </w:pPr>
            <w:r>
              <w:t xml:space="preserve">60</w:t>
            </w:r>
          </w:p>
        </w:tc>
        <w:tc>
          <w:tcPr/>
          <w:p>
            <w:pPr>
              <w:pStyle w:val="Compact"/>
              <w:jc w:val="left"/>
            </w:pPr>
            <w:r>
              <w:t xml:space="preserve">Sets</w:t>
            </w:r>
          </w:p>
        </w:tc>
        <w:tc>
          <w:tcPr/>
          <w:p>
            <w:pPr>
              <w:pStyle w:val="Compact"/>
              <w:jc w:val="left"/>
            </w:pPr>
            <w:r>
              <w:t xml:space="preserve">210.00</w:t>
            </w:r>
          </w:p>
        </w:tc>
        <w:tc>
          <w:tcPr/>
          <w:p>
            <w:pPr>
              <w:pStyle w:val="Compact"/>
              <w:jc w:val="left"/>
            </w:pPr>
            <w:r>
              <w:t xml:space="preserve">12,600.00</w:t>
            </w:r>
          </w:p>
        </w:tc>
      </w:tr>
      <w:tr>
        <w:tc>
          <w:tcPr>
            <w:gridSpan w:val="6"/>
          </w:tcPr>
          <w:p>
            <w:pPr>
              <w:pStyle w:val="Compact"/>
              <w:jc w:val="right"/>
            </w:pPr>
            <w:r>
              <w:t xml:space="preserve">Subtotal:</w:t>
            </w:r>
          </w:p>
        </w:tc>
        <w:tc>
          <w:tcPr/>
          <w:p>
            <w:pPr>
              <w:pStyle w:val="Compact"/>
              <w:jc w:val="left"/>
            </w:pPr>
            <w:r>
              <w:t xml:space="preserve">165,810.00</w:t>
            </w:r>
          </w:p>
        </w:tc>
      </w:tr>
      <w:tr>
        <w:tc>
          <w:tcPr>
            <w:gridSpan w:val="6"/>
          </w:tcPr>
          <w:p>
            <w:pPr>
              <w:pStyle w:val="Compact"/>
              <w:jc w:val="right"/>
            </w:pPr>
            <w:r>
              <w:t xml:space="preserve">VAT (13%):</w:t>
            </w:r>
          </w:p>
        </w:tc>
        <w:tc>
          <w:tcPr/>
          <w:p>
            <w:pPr>
              <w:pStyle w:val="Compact"/>
              <w:jc w:val="left"/>
            </w:pPr>
            <w:r>
              <w:t xml:space="preserve">21,555.30</w:t>
            </w:r>
          </w:p>
        </w:tc>
      </w:tr>
      <w:tr>
        <w:tc>
          <w:tcPr>
            <w:gridSpan w:val="6"/>
          </w:tcPr>
          <w:p>
            <w:pPr>
              <w:pStyle w:val="Compact"/>
              <w:jc w:val="right"/>
            </w:pPr>
            <w:r>
              <w:t xml:space="preserve">Grand Total (CNY):</w:t>
            </w:r>
          </w:p>
        </w:tc>
        <w:tc>
          <w:tcPr/>
          <w:p>
            <w:pPr>
              <w:pStyle w:val="Compact"/>
              <w:jc w:val="left"/>
            </w:pPr>
            <w:r>
              <w:t xml:space="preserve">187,365.30</w:t>
            </w:r>
          </w:p>
        </w:tc>
      </w:tr>
    </w:tbl>
    <w:p>
      <w:pPr>
        <w:pStyle w:val="BodyText"/>
      </w:pPr>
      <w:r>
        <w:t xml:space="preserve">TERMS AND CONDITIONS OF THIS PURCHASE ORDER</w:t>
      </w:r>
    </w:p>
    <w:p>
      <w:pPr>
        <w:numPr>
          <w:ilvl w:val="0"/>
          <w:numId w:val="1001"/>
        </w:numPr>
        <w:pStyle w:val="Compact"/>
      </w:pPr>
      <w:r>
        <w:rPr>
          <w:bCs/>
          <w:b/>
        </w:rPr>
        <w:t xml:space="preserve">Scope of Purchase Order:</w:t>
      </w:r>
      <w:r>
        <w:t xml:space="preserve"> </w:t>
      </w:r>
      <w:r>
        <w:t xml:space="preserve">This Purchase Order is issued by Guangzhou Pharmaceutical Distribution Co., Ltd. (hereinafter "the Buyer") to Guangzhou Chemist &amp; Chemical Supply House (hereinafter "the Chemist Supplier") for the procurement of pharmaceutical-grade chemicals, active pharmaceutical ingredients, laboratory reagents, and associated consumables as itemized in the table above. All items are to be sourced, prepared, and dispatched from the Chemist Supplier's facility located in the Baiyun District of China Guangzhou.</w:t>
      </w:r>
    </w:p>
    <w:p>
      <w:pPr>
        <w:numPr>
          <w:ilvl w:val="0"/>
          <w:numId w:val="1001"/>
        </w:numPr>
        <w:pStyle w:val="Compact"/>
      </w:pPr>
      <w:r>
        <w:rPr>
          <w:bCs/>
          <w:b/>
        </w:rPr>
        <w:t xml:space="preserve">Quality Assurance:</w:t>
      </w:r>
      <w:r>
        <w:t xml:space="preserve"> </w:t>
      </w:r>
      <w:r>
        <w:t xml:space="preserve">The Chemist Supplier warrants that all chemical products and pharmaceutical ingredients delivered under this Purchase Order shall conform to the Chinese Pharmacopoeia (ChP) standards, the European Pharmacopoeia (EP) where applicable, and the specific purity grades stated in each item description. Each shipment must be accompanied by a Certificate of Analysis (CoA) signed and stamped by the responsible Chemist at the supplier's facility in China Guangzhou.</w:t>
      </w:r>
    </w:p>
    <w:p>
      <w:pPr>
        <w:numPr>
          <w:ilvl w:val="0"/>
          <w:numId w:val="1001"/>
        </w:numPr>
        <w:pStyle w:val="Compact"/>
      </w:pPr>
      <w:r>
        <w:rPr>
          <w:bCs/>
          <w:b/>
        </w:rPr>
        <w:t xml:space="preserve">Delivery Schedule:</w:t>
      </w:r>
      <w:r>
        <w:t xml:space="preserve"> </w:t>
      </w:r>
      <w:r>
        <w:t xml:space="preserve">The Chemist Supplier shall deliver all goods listed in this Purchase Order to the Buyer's warehouse at No. 88 Tianhe Avenue, Tianhe District, Guangzhou, no later than 25 July 2025. Delivery shall be made in accordance with DAP (Delivered at Place) Incoterms 2020. The Chemist Supplier is responsible for all packaging, labelling, and safe transport of chemical materials within the China Guangzhou metropolitan area.</w:t>
      </w:r>
    </w:p>
    <w:p>
      <w:pPr>
        <w:numPr>
          <w:ilvl w:val="0"/>
          <w:numId w:val="1001"/>
        </w:numPr>
        <w:pStyle w:val="Compact"/>
      </w:pPr>
      <w:r>
        <w:rPr>
          <w:bCs/>
          <w:b/>
        </w:rPr>
        <w:t xml:space="preserve">Payment Terms:</w:t>
      </w:r>
      <w:r>
        <w:t xml:space="preserve"> </w:t>
      </w:r>
      <w:r>
        <w:t xml:space="preserve">Payment of the full amount of CNY 187,365.30 shall be made by bank transfer to the Chemist Supplier's designated account within forty-five (45) calendar days from the date of confirmed receipt and acceptance of all goods. The Buyer reserves the right to withhold payment for any lot that fails the incoming quality inspection conducted by the Buyer's in-house Chemist team.</w:t>
      </w:r>
    </w:p>
    <w:p>
      <w:pPr>
        <w:numPr>
          <w:ilvl w:val="0"/>
          <w:numId w:val="1001"/>
        </w:numPr>
        <w:pStyle w:val="Compact"/>
      </w:pPr>
      <w:r>
        <w:rPr>
          <w:bCs/>
          <w:b/>
        </w:rPr>
        <w:t xml:space="preserve">Inspection and Acceptance:</w:t>
      </w:r>
      <w:r>
        <w:t xml:space="preserve"> </w:t>
      </w:r>
      <w:r>
        <w:t xml:space="preserve">Upon delivery, the Buyer's quality control department, led by a licensed Chemist, shall inspect all received materials within five (5) business days. Any discrepancies in quantity, purity, packaging integrity, or documentation must be reported to the Chemist Supplier in writing within the same period. The Chemist Supplier shall rectify or replace non-conforming items at its own cost within ten (10) business days.</w:t>
      </w:r>
    </w:p>
    <w:p>
      <w:pPr>
        <w:numPr>
          <w:ilvl w:val="0"/>
          <w:numId w:val="1001"/>
        </w:numPr>
        <w:pStyle w:val="Compact"/>
      </w:pPr>
      <w:r>
        <w:rPr>
          <w:bCs/>
          <w:b/>
        </w:rPr>
        <w:t xml:space="preserve">Regulatory Compliance:</w:t>
      </w:r>
      <w:r>
        <w:t xml:space="preserve"> </w:t>
      </w:r>
      <w:r>
        <w:t xml:space="preserve">The Chemist Supplier confirms that it holds all necessary chemical business licenses, hazardous materials handling permits, and pharmaceutical distribution authorizations issued by the Guangzhou Municipal Drug Administration and the Guangdong Provincial Bureau of Market Supervision and Administration. All chemical shipments within China Guangzhou shall comply with the Regulations on the Safety Management of Hazardous Chemicals (State Council Order No. 591).</w:t>
      </w:r>
    </w:p>
    <w:p>
      <w:pPr>
        <w:numPr>
          <w:ilvl w:val="0"/>
          <w:numId w:val="1001"/>
        </w:numPr>
        <w:pStyle w:val="Compact"/>
      </w:pPr>
      <w:r>
        <w:rPr>
          <w:bCs/>
          <w:b/>
        </w:rPr>
        <w:t xml:space="preserve">Intellectual Property and Confidentiality:</w:t>
      </w:r>
      <w:r>
        <w:t xml:space="preserve"> </w:t>
      </w:r>
      <w:r>
        <w:t xml:space="preserve">Both parties agree that the terms, pricing, and specifications contained in this Purchase Order are confidential. The Chemist Supplier shall not disclose the Buyer's procurement volumes or product requirements to any third party without prior written consent.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government regulatory changes affecting chemical trade in China Guangzhou, or public health emergencies.</w:t>
      </w:r>
    </w:p>
    <w:p>
      <w:pPr>
        <w:numPr>
          <w:ilvl w:val="0"/>
          <w:numId w:val="1001"/>
        </w:numPr>
        <w:pStyle w:val="Compact"/>
      </w:pPr>
      <w:r>
        <w:rPr>
          <w:bCs/>
          <w:b/>
        </w:rPr>
        <w:t xml:space="preserve">Governing Law and Dispute Resolution:</w:t>
      </w:r>
      <w:r>
        <w:t xml:space="preserve"> </w:t>
      </w:r>
      <w:r>
        <w:t xml:space="preserve">This Purchase Order shall be governed by the laws of the People's Republic of China. Any disputes arising from or in connection with this Purchase Order shall first be resolved through amicable negotiation between the Buyer and the Chemist Supplier. If unresolved within thirty (30) days, the matter shall be submitted to the Guangzhou International Arbitration Commission (CIETAC Guangzhou) for binding arbitration in China Guangzhou.</w:t>
      </w:r>
    </w:p>
    <w:p>
      <w:pPr>
        <w:numPr>
          <w:ilvl w:val="0"/>
          <w:numId w:val="1001"/>
        </w:numPr>
        <w:pStyle w:val="Compact"/>
      </w:pPr>
      <w:r>
        <w:rPr>
          <w:bCs/>
          <w:b/>
        </w:rPr>
        <w:t xml:space="preserve">Amendments:</w:t>
      </w:r>
      <w:r>
        <w:t xml:space="preserve"> </w:t>
      </w:r>
      <w:r>
        <w:t xml:space="preserve">No modification, amendment, or supplement to this Purchase Order shall be valid unless made in writing and signed by authorized representatives of both the Buyer and the Chemist Supplier.</w:t>
      </w:r>
    </w:p>
    <w:p>
      <w:pPr>
        <w:pStyle w:val="FirstParagraph"/>
      </w:pPr>
      <w:r>
        <w:t xml:space="preserve">AUTHORIZATION AND SIGNATURES</w:t>
      </w:r>
    </w:p>
    <w:p>
      <w:pPr>
        <w:pStyle w:val="BodyText"/>
      </w:pPr>
      <w:r>
        <w:rPr>
          <w:bCs/>
          <w:b/>
        </w:rPr>
        <w:t xml:space="preserve">For and on behalf of the Buyer:</w:t>
      </w:r>
      <w:r>
        <w:br/>
      </w:r>
      <w:r>
        <w:t xml:space="preserve">Guangzhou Pharmaceutical Distribution Co., Ltd.</w:t>
      </w:r>
    </w:p>
    <w:p>
      <w:pPr>
        <w:pStyle w:val="BodyText"/>
      </w:pPr>
      <w:r>
        <w:t xml:space="preserve">Name: Liang Wei</w:t>
      </w:r>
      <w:r>
        <w:br/>
      </w:r>
      <w:r>
        <w:t xml:space="preserve">Title: Procurement Director</w:t>
      </w:r>
      <w:r>
        <w:br/>
      </w:r>
      <w:r>
        <w:t xml:space="preserve">Signature: _________________________</w:t>
      </w:r>
      <w:r>
        <w:br/>
      </w:r>
      <w:r>
        <w:t xml:space="preserve">Date: _________________________</w:t>
      </w:r>
      <w:r>
        <w:br/>
      </w:r>
      <w:r>
        <w:t xml:space="preserve">Company Seal:</w:t>
      </w:r>
    </w:p>
    <w:p>
      <w:pPr>
        <w:pStyle w:val="BodyText"/>
      </w:pPr>
      <w:r>
        <w:rPr>
          <w:bCs/>
          <w:b/>
        </w:rPr>
        <w:t xml:space="preserve">For and on behalf of the Chemist Supplier:</w:t>
      </w:r>
      <w:r>
        <w:br/>
      </w:r>
      <w:r>
        <w:t xml:space="preserve">Guangzhou Chemist &amp; Chemical Supply House</w:t>
      </w:r>
    </w:p>
    <w:p>
      <w:pPr>
        <w:pStyle w:val="BodyText"/>
      </w:pPr>
      <w:r>
        <w:t xml:space="preserve">Name: Dr. Chen Xiaomei</w:t>
      </w:r>
      <w:r>
        <w:br/>
      </w:r>
      <w:r>
        <w:t xml:space="preserve">Title: Head Chemist / Authorized Signatory</w:t>
      </w:r>
      <w:r>
        <w:br/>
      </w:r>
      <w:r>
        <w:t xml:space="preserve">Signature: _________________________</w:t>
      </w:r>
      <w:r>
        <w:br/>
      </w:r>
      <w:r>
        <w:t xml:space="preserve">Date: _________________________</w:t>
      </w:r>
      <w:r>
        <w:br/>
      </w:r>
      <w:r>
        <w:t xml:space="preserve">Company Seal:</w:t>
      </w:r>
    </w:p>
    <w:p>
      <w:pPr>
        <w:pStyle w:val="BodyText"/>
      </w:pPr>
      <w:r>
        <w:t xml:space="preserve">This Purchase Order (PO-GZ-2025-00472) constitutes a binding procurement agreement between the Buyer and the Chemist Supplier for the supply of chemical and pharmaceutical products within China Guangzhou. This document is valid only when signed and sealed by both parties. All communications regarding this Purchase Order shall be directed to the contacts listed above. © 2025 Guangzhou Pharmaceutical Distribution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China Guangzhou</dc:title>
  <dc:creator/>
  <dc:language>en</dc:language>
  <cp:keywords/>
  <dcterms:created xsi:type="dcterms:W3CDTF">2026-10-10T05:47:49Z</dcterms:created>
  <dcterms:modified xsi:type="dcterms:W3CDTF">2026-10-10T05:47:49Z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