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Supplies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rPr>
          <w:bCs/>
          <w:b/>
        </w:rPr>
        <w:t xml:space="preserve">Química Andina S.A.S.</w:t>
      </w:r>
      <w:r>
        <w:t xml:space="preserve"> </w:t>
      </w:r>
      <w:r>
        <w:t xml:space="preserve">— Licensed Chemist &amp; Pharmaceutical Supply Company</w:t>
      </w:r>
    </w:p>
    <w:p>
      <w:pPr>
        <w:pStyle w:val="BodyText"/>
      </w:pPr>
      <w:r>
        <w:t xml:space="preserve">Calle 45 # 12-34, Piso 8, Zona Rosa, Bogotá D.C., Colombia</w:t>
      </w:r>
    </w:p>
    <w:p>
      <w:pPr>
        <w:pStyle w:val="BodyText"/>
      </w:pPr>
      <w:r>
        <w:t xml:space="preserve">NIT: 901.234.567-8 | RUT: 9012345678 | Phone: +57 (601) 743-2890 | Email: compras@quimicaandina.co</w:t>
      </w:r>
    </w:p>
    <w:bookmarkEnd w:id="20"/>
    <w:p>
      <w:pPr>
        <w:pStyle w:val="BodyText"/>
      </w:pPr>
      <w:r>
        <w:rPr>
          <w:bCs/>
          <w:b/>
        </w:rPr>
        <w:t xml:space="preserve">Purchase Order No.:</w:t>
      </w:r>
      <w:r>
        <w:t xml:space="preserve"> </w:t>
      </w:r>
      <w:r>
        <w:t xml:space="preserve">PO-BOG-2025-04872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June 27, 2025</w:t>
      </w:r>
    </w:p>
    <w:p>
      <w:pPr>
        <w:pStyle w:val="BodyText"/>
      </w:pPr>
      <w:r>
        <w:rPr>
          <w:bCs/>
          <w:b/>
        </w:rPr>
        <w:t xml:space="preserve">Payment Terms:</w:t>
      </w:r>
      <w:r>
        <w:t xml:space="preserve"> </w:t>
      </w:r>
      <w:r>
        <w:t xml:space="preserve">Net 30 Days</w:t>
      </w:r>
    </w:p>
    <w:p>
      <w:pPr>
        <w:pStyle w:val="BodyText"/>
      </w:pPr>
      <w:r>
        <w:rPr>
          <w:bCs/>
          <w:b/>
        </w:rPr>
        <w:t xml:space="preserve">Incoterms:</w:t>
      </w:r>
      <w:r>
        <w:t xml:space="preserve"> </w:t>
      </w:r>
      <w:r>
        <w:t xml:space="preserve">DAP Bogotá</w:t>
      </w:r>
    </w:p>
    <w:p>
      <w:pPr>
        <w:pStyle w:val="BodyText"/>
      </w:pPr>
      <w:r>
        <w:rPr>
          <w:bCs/>
          <w:b/>
        </w:rPr>
        <w:t xml:space="preserve">Currency:</w:t>
      </w:r>
      <w:r>
        <w:t xml:space="preserve"> </w:t>
      </w:r>
      <w:r>
        <w:t xml:space="preserve">Colombian Peso (COP)</w:t>
      </w:r>
    </w:p>
    <w:p>
      <w:pPr>
        <w:pStyle w:val="BodyText"/>
      </w:pPr>
      <w:r>
        <w:t xml:space="preserve">SUPPLIER INFORMATION</w:t>
      </w:r>
    </w:p>
    <w:p>
      <w:pPr>
        <w:pStyle w:val="BodyText"/>
      </w:pPr>
      <w:r>
        <w:rPr>
          <w:bCs/>
          <w:b/>
        </w:rPr>
        <w:t xml:space="preserve">Supplier:</w:t>
      </w:r>
      <w:r>
        <w:t xml:space="preserve"> </w:t>
      </w:r>
      <w:r>
        <w:t xml:space="preserve">Laboratorios del Caribe S.A.S.</w:t>
      </w:r>
    </w:p>
    <w:p>
      <w:pPr>
        <w:pStyle w:val="BodyText"/>
      </w:pPr>
      <w:r>
        <w:rPr>
          <w:bCs/>
          <w:b/>
        </w:rPr>
        <w:t xml:space="preserve">Address:</w:t>
      </w:r>
      <w:r>
        <w:t xml:space="preserve"> </w:t>
      </w:r>
      <w:r>
        <w:t xml:space="preserve">Av. El Dorado # 95-40, Local 312, Bogotá D.C., Colombia</w:t>
      </w:r>
    </w:p>
    <w:p>
      <w:pPr>
        <w:pStyle w:val="BodyText"/>
      </w:pPr>
      <w:r>
        <w:rPr>
          <w:bCs/>
          <w:b/>
        </w:rPr>
        <w:t xml:space="preserve">NIT:</w:t>
      </w:r>
      <w:r>
        <w:t xml:space="preserve"> </w:t>
      </w:r>
      <w:r>
        <w:t xml:space="preserve">830.456.789-1</w:t>
      </w:r>
    </w:p>
    <w:p>
      <w:pPr>
        <w:pStyle w:val="BodyText"/>
      </w:pPr>
      <w:r>
        <w:rPr>
          <w:bCs/>
          <w:b/>
        </w:rPr>
        <w:t xml:space="preserve">Contact Person:</w:t>
      </w:r>
      <w:r>
        <w:t xml:space="preserve"> </w:t>
      </w:r>
      <w:r>
        <w:t xml:space="preserve">Ing. María Fernanda Restrepo (Chemist &amp; Sales Director)</w:t>
      </w:r>
    </w:p>
    <w:p>
      <w:pPr>
        <w:pStyle w:val="BodyText"/>
      </w:pPr>
      <w:r>
        <w:rPr>
          <w:bCs/>
          <w:b/>
        </w:rPr>
        <w:t xml:space="preserve">Phone:</w:t>
      </w:r>
      <w:r>
        <w:t xml:space="preserve"> </w:t>
      </w:r>
      <w:r>
        <w:t xml:space="preserve">+57 (601) 612-4455 |</w:t>
      </w:r>
      <w:r>
        <w:t xml:space="preserve"> </w:t>
      </w:r>
      <w:r>
        <w:rPr>
          <w:bCs/>
          <w:b/>
        </w:rPr>
        <w:t xml:space="preserve">Email:</w:t>
      </w:r>
      <w:r>
        <w:t xml:space="preserve"> </w:t>
      </w:r>
      <w:r>
        <w:t xml:space="preserve">ventas@labcaribe.co</w:t>
      </w:r>
    </w:p>
    <w:p>
      <w:pPr>
        <w:pStyle w:val="BodyText"/>
      </w:pPr>
      <w:r>
        <w:t xml:space="preserve">BILL TO / DELIVERY ADDRESS</w:t>
      </w:r>
    </w:p>
    <w:p>
      <w:pPr>
        <w:pStyle w:val="BodyText"/>
      </w:pPr>
      <w:r>
        <w:rPr>
          <w:bCs/>
          <w:b/>
        </w:rPr>
        <w:t xml:space="preserve">Bill To:</w:t>
      </w:r>
      <w:r>
        <w:t xml:space="preserve"> </w:t>
      </w:r>
      <w:r>
        <w:t xml:space="preserve">Química Andina S.A.S. — Central Warehouse</w:t>
      </w:r>
    </w:p>
    <w:p>
      <w:pPr>
        <w:pStyle w:val="BodyText"/>
      </w:pPr>
      <w:r>
        <w:rPr>
          <w:bCs/>
          <w:b/>
        </w:rPr>
        <w:t xml:space="preserve">Delivery Address:</w:t>
      </w:r>
      <w:r>
        <w:t xml:space="preserve"> </w:t>
      </w:r>
      <w:r>
        <w:t xml:space="preserve">Cra. 68 # 54-20, Parque Industrial, Suba, Bogotá D.C., Colombia</w:t>
      </w:r>
    </w:p>
    <w:p>
      <w:pPr>
        <w:pStyle w:val="BodyText"/>
      </w:pPr>
      <w:r>
        <w:rPr>
          <w:bCs/>
          <w:b/>
        </w:rPr>
        <w:t xml:space="preserve">Receiving Contact:</w:t>
      </w:r>
      <w:r>
        <w:t xml:space="preserve"> </w:t>
      </w:r>
      <w:r>
        <w:t xml:space="preserve">Dr. Carlos Alberto Mendoza, Chief Chemist</w:t>
      </w:r>
    </w:p>
    <w:p>
      <w:pPr>
        <w:pStyle w:val="BodyText"/>
      </w:pPr>
      <w:r>
        <w:rPr>
          <w:bCs/>
          <w:b/>
        </w:rPr>
        <w:t xml:space="preserve">Phone:</w:t>
      </w:r>
      <w:r>
        <w:t xml:space="preserve"> </w:t>
      </w:r>
      <w:r>
        <w:t xml:space="preserve">+57 (601) 743-2891 |</w:t>
      </w:r>
      <w:r>
        <w:t xml:space="preserve"> </w:t>
      </w:r>
      <w:r>
        <w:rPr>
          <w:bCs/>
          <w:b/>
        </w:rPr>
        <w:t xml:space="preserve">Email:</w:t>
      </w:r>
      <w:r>
        <w:t xml:space="preserve"> </w:t>
      </w:r>
      <w:r>
        <w:t xml:space="preserve">bodega@quimicaandina.co</w:t>
      </w:r>
    </w:p>
    <w:p>
      <w:pPr>
        <w:pStyle w:val="BodyText"/>
      </w:pPr>
      <w:r>
        <w:t xml:space="preserve">ITEMIZED PURCHASE ORDER — CHEMIST SUPPLIES &amp; LABORATORY REAGENTS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c>
          <w:tcPr/>
          <w:p>
            <w:pPr>
              <w:pStyle w:val="Compact"/>
              <w:jc w:val="left"/>
            </w:pPr>
            <w:r>
              <w:t xml:space="preserve">HS Code</w:t>
            </w:r>
          </w:p>
        </w:tc>
      </w:tr>
      <w:tr>
        <w:tc>
          <w:tcPr/>
          <w:p>
            <w:pPr>
              <w:pStyle w:val="Compact"/>
              <w:jc w:val="left"/>
            </w:pPr>
            <w:r>
              <w:t xml:space="preserve">01</w:t>
            </w:r>
          </w:p>
        </w:tc>
        <w:tc>
          <w:tcPr/>
          <w:p>
            <w:pPr>
              <w:pStyle w:val="Compact"/>
              <w:jc w:val="left"/>
            </w:pPr>
            <w:r>
              <w:t xml:space="preserve">Sodium Hydroxide (NaOH), 98% purity, laboratory grade, 25 kg drums — for pH adjustment in chemist processing lines</w:t>
            </w:r>
          </w:p>
        </w:tc>
        <w:tc>
          <w:tcPr/>
          <w:p>
            <w:pPr>
              <w:pStyle w:val="Compact"/>
              <w:jc w:val="left"/>
            </w:pPr>
            <w:r>
              <w:t xml:space="preserve">40</w:t>
            </w:r>
          </w:p>
        </w:tc>
        <w:tc>
          <w:tcPr/>
          <w:p>
            <w:pPr>
              <w:pStyle w:val="Compact"/>
              <w:jc w:val="left"/>
            </w:pPr>
            <w:r>
              <w:t xml:space="preserve">Drums</w:t>
            </w:r>
          </w:p>
        </w:tc>
        <w:tc>
          <w:tcPr/>
          <w:p>
            <w:pPr>
              <w:pStyle w:val="Compact"/>
              <w:jc w:val="left"/>
            </w:pPr>
            <w:r>
              <w:t xml:space="preserve">185,000</w:t>
            </w:r>
          </w:p>
        </w:tc>
        <w:tc>
          <w:tcPr/>
          <w:p>
            <w:pPr>
              <w:pStyle w:val="Compact"/>
              <w:jc w:val="left"/>
            </w:pPr>
            <w:r>
              <w:t xml:space="preserve">7,400,000</w:t>
            </w:r>
          </w:p>
        </w:tc>
        <w:tc>
          <w:tcPr/>
          <w:p>
            <w:pPr>
              <w:pStyle w:val="Compact"/>
              <w:jc w:val="left"/>
            </w:pPr>
            <w:r>
              <w:t xml:space="preserve">2829.10</w:t>
            </w:r>
          </w:p>
        </w:tc>
      </w:tr>
      <w:tr>
        <w:tc>
          <w:tcPr/>
          <w:p>
            <w:pPr>
              <w:pStyle w:val="Compact"/>
              <w:jc w:val="left"/>
            </w:pPr>
            <w:r>
              <w:t xml:space="preserve">02</w:t>
            </w:r>
          </w:p>
        </w:tc>
        <w:tc>
          <w:tcPr/>
          <w:p>
            <w:pPr>
              <w:pStyle w:val="Compact"/>
              <w:jc w:val="left"/>
            </w:pPr>
            <w:r>
              <w:t xml:space="preserve">Hydrochloric Acid (HCl), 37% concentration, reagent grade, 25 L carboys — for analytical chemist procedures</w:t>
            </w:r>
          </w:p>
        </w:tc>
        <w:tc>
          <w:tcPr/>
          <w:p>
            <w:pPr>
              <w:pStyle w:val="Compact"/>
              <w:jc w:val="left"/>
            </w:pPr>
            <w:r>
              <w:t xml:space="preserve">24</w:t>
            </w:r>
          </w:p>
        </w:tc>
        <w:tc>
          <w:tcPr/>
          <w:p>
            <w:pPr>
              <w:pStyle w:val="Compact"/>
              <w:jc w:val="left"/>
            </w:pPr>
            <w:r>
              <w:t xml:space="preserve">Carboys</w:t>
            </w:r>
          </w:p>
        </w:tc>
        <w:tc>
          <w:tcPr/>
          <w:p>
            <w:pPr>
              <w:pStyle w:val="Compact"/>
              <w:jc w:val="left"/>
            </w:pPr>
            <w:r>
              <w:t xml:space="preserve">142,000</w:t>
            </w:r>
          </w:p>
        </w:tc>
        <w:tc>
          <w:tcPr/>
          <w:p>
            <w:pPr>
              <w:pStyle w:val="Compact"/>
              <w:jc w:val="left"/>
            </w:pPr>
            <w:r>
              <w:t xml:space="preserve">3,408,000</w:t>
            </w:r>
          </w:p>
        </w:tc>
        <w:tc>
          <w:tcPr/>
          <w:p>
            <w:pPr>
              <w:pStyle w:val="Compact"/>
              <w:jc w:val="left"/>
            </w:pPr>
            <w:r>
              <w:t xml:space="preserve">2806.10</w:t>
            </w:r>
          </w:p>
        </w:tc>
      </w:tr>
      <w:tr>
        <w:tc>
          <w:tcPr/>
          <w:p>
            <w:pPr>
              <w:pStyle w:val="Compact"/>
              <w:jc w:val="left"/>
            </w:pPr>
            <w:r>
              <w:t xml:space="preserve">03</w:t>
            </w:r>
          </w:p>
        </w:tc>
        <w:tc>
          <w:tcPr/>
          <w:p>
            <w:pPr>
              <w:pStyle w:val="Compact"/>
              <w:jc w:val="left"/>
            </w:pPr>
            <w:r>
              <w:t xml:space="preserve">Acetone (Propanone), 99.5% purity, HPLC grade, 4 L bottles — for chromatography and solvent preparation</w:t>
            </w:r>
          </w:p>
        </w:tc>
        <w:tc>
          <w:tcPr/>
          <w:p>
            <w:pPr>
              <w:pStyle w:val="Compact"/>
              <w:jc w:val="left"/>
            </w:pPr>
            <w:r>
              <w:t xml:space="preserve">60</w:t>
            </w:r>
          </w:p>
        </w:tc>
        <w:tc>
          <w:tcPr/>
          <w:p>
            <w:pPr>
              <w:pStyle w:val="Compact"/>
              <w:jc w:val="left"/>
            </w:pPr>
            <w:r>
              <w:t xml:space="preserve">Bottles</w:t>
            </w:r>
          </w:p>
        </w:tc>
        <w:tc>
          <w:tcPr/>
          <w:p>
            <w:pPr>
              <w:pStyle w:val="Compact"/>
              <w:jc w:val="left"/>
            </w:pPr>
            <w:r>
              <w:t xml:space="preserve">98,500</w:t>
            </w:r>
          </w:p>
        </w:tc>
        <w:tc>
          <w:tcPr/>
          <w:p>
            <w:pPr>
              <w:pStyle w:val="Compact"/>
              <w:jc w:val="left"/>
            </w:pPr>
            <w:r>
              <w:t xml:space="preserve">5,910,000</w:t>
            </w:r>
          </w:p>
        </w:tc>
        <w:tc>
          <w:tcPr/>
          <w:p>
            <w:pPr>
              <w:pStyle w:val="Compact"/>
              <w:jc w:val="left"/>
            </w:pPr>
            <w:r>
              <w:t xml:space="preserve">2914.11</w:t>
            </w:r>
          </w:p>
        </w:tc>
      </w:tr>
      <w:tr>
        <w:tc>
          <w:tcPr/>
          <w:p>
            <w:pPr>
              <w:pStyle w:val="Compact"/>
              <w:jc w:val="left"/>
            </w:pPr>
            <w:r>
              <w:t xml:space="preserve">04</w:t>
            </w:r>
          </w:p>
        </w:tc>
        <w:tc>
          <w:tcPr/>
          <w:p>
            <w:pPr>
              <w:pStyle w:val="Compact"/>
              <w:jc w:val="left"/>
            </w:pPr>
            <w:r>
              <w:t xml:space="preserve">Glacial Acetic Acid, 99.8% purity, 5 L containers — for buffer preparation in the chemist laboratory</w:t>
            </w:r>
          </w:p>
        </w:tc>
        <w:tc>
          <w:tcPr/>
          <w:p>
            <w:pPr>
              <w:pStyle w:val="Compact"/>
              <w:jc w:val="left"/>
            </w:pPr>
            <w:r>
              <w:t xml:space="preserve">18</w:t>
            </w:r>
          </w:p>
        </w:tc>
        <w:tc>
          <w:tcPr/>
          <w:p>
            <w:pPr>
              <w:pStyle w:val="Compact"/>
              <w:jc w:val="left"/>
            </w:pPr>
            <w:r>
              <w:t xml:space="preserve">Containers</w:t>
            </w:r>
          </w:p>
        </w:tc>
        <w:tc>
          <w:tcPr/>
          <w:p>
            <w:pPr>
              <w:pStyle w:val="Compact"/>
              <w:jc w:val="left"/>
            </w:pPr>
            <w:r>
              <w:t xml:space="preserve">127,000</w:t>
            </w:r>
          </w:p>
        </w:tc>
        <w:tc>
          <w:tcPr/>
          <w:p>
            <w:pPr>
              <w:pStyle w:val="Compact"/>
              <w:jc w:val="left"/>
            </w:pPr>
            <w:r>
              <w:t xml:space="preserve">2,286,000</w:t>
            </w:r>
          </w:p>
        </w:tc>
        <w:tc>
          <w:tcPr/>
          <w:p>
            <w:pPr>
              <w:pStyle w:val="Compact"/>
              <w:jc w:val="left"/>
            </w:pPr>
            <w:r>
              <w:t xml:space="preserve">2915.10</w:t>
            </w:r>
          </w:p>
        </w:tc>
      </w:tr>
      <w:tr>
        <w:tc>
          <w:tcPr/>
          <w:p>
            <w:pPr>
              <w:pStyle w:val="Compact"/>
              <w:jc w:val="left"/>
            </w:pPr>
            <w:r>
              <w:t xml:space="preserve">05</w:t>
            </w:r>
          </w:p>
        </w:tc>
        <w:tc>
          <w:tcPr/>
          <w:p>
            <w:pPr>
              <w:pStyle w:val="Compact"/>
              <w:jc w:val="left"/>
            </w:pPr>
            <w:r>
              <w:t xml:space="preserve">Potassium Permanganate (KMnO₄), 99% purity, 1 kg bags — for oxidation reactions and water treatment</w:t>
            </w:r>
          </w:p>
        </w:tc>
        <w:tc>
          <w:tcPr/>
          <w:p>
            <w:pPr>
              <w:pStyle w:val="Compact"/>
              <w:jc w:val="left"/>
            </w:pPr>
            <w:r>
              <w:t xml:space="preserve">35</w:t>
            </w:r>
          </w:p>
        </w:tc>
        <w:tc>
          <w:tcPr/>
          <w:p>
            <w:pPr>
              <w:pStyle w:val="Compact"/>
              <w:jc w:val="left"/>
            </w:pPr>
            <w:r>
              <w:t xml:space="preserve">Bags</w:t>
            </w:r>
          </w:p>
        </w:tc>
        <w:tc>
          <w:tcPr/>
          <w:p>
            <w:pPr>
              <w:pStyle w:val="Compact"/>
              <w:jc w:val="left"/>
            </w:pPr>
            <w:r>
              <w:t xml:space="preserve">67,500</w:t>
            </w:r>
          </w:p>
        </w:tc>
        <w:tc>
          <w:tcPr/>
          <w:p>
            <w:pPr>
              <w:pStyle w:val="Compact"/>
              <w:jc w:val="left"/>
            </w:pPr>
            <w:r>
              <w:t xml:space="preserve">2,362,500</w:t>
            </w:r>
          </w:p>
        </w:tc>
        <w:tc>
          <w:tcPr/>
          <w:p>
            <w:pPr>
              <w:pStyle w:val="Compact"/>
              <w:jc w:val="left"/>
            </w:pPr>
            <w:r>
              <w:t xml:space="preserve">2841.60</w:t>
            </w:r>
          </w:p>
        </w:tc>
      </w:tr>
      <w:tr>
        <w:tc>
          <w:tcPr/>
          <w:p>
            <w:pPr>
              <w:pStyle w:val="Compact"/>
              <w:jc w:val="left"/>
            </w:pPr>
            <w:r>
              <w:t xml:space="preserve">06</w:t>
            </w:r>
          </w:p>
        </w:tc>
        <w:tc>
          <w:tcPr/>
          <w:p>
            <w:pPr>
              <w:pStyle w:val="Compact"/>
              <w:jc w:val="left"/>
            </w:pPr>
            <w:r>
              <w:t xml:space="preserve">Paraffin Wax, pharmaceutical grade, 25 kg blocks — for capsule coating in the chemist formulation unit</w:t>
            </w:r>
          </w:p>
        </w:tc>
        <w:tc>
          <w:tcPr/>
          <w:p>
            <w:pPr>
              <w:pStyle w:val="Compact"/>
              <w:jc w:val="left"/>
            </w:pPr>
            <w:r>
              <w:t xml:space="preserve">12</w:t>
            </w:r>
          </w:p>
        </w:tc>
        <w:tc>
          <w:tcPr/>
          <w:p>
            <w:pPr>
              <w:pStyle w:val="Compact"/>
              <w:jc w:val="left"/>
            </w:pPr>
            <w:r>
              <w:t xml:space="preserve">Blocks</w:t>
            </w:r>
          </w:p>
        </w:tc>
        <w:tc>
          <w:tcPr/>
          <w:p>
            <w:pPr>
              <w:pStyle w:val="Compact"/>
              <w:jc w:val="left"/>
            </w:pPr>
            <w:r>
              <w:t xml:space="preserve">215,000</w:t>
            </w:r>
          </w:p>
        </w:tc>
        <w:tc>
          <w:tcPr/>
          <w:p>
            <w:pPr>
              <w:pStyle w:val="Compact"/>
              <w:jc w:val="left"/>
            </w:pPr>
            <w:r>
              <w:t xml:space="preserve">2,580,000</w:t>
            </w:r>
          </w:p>
        </w:tc>
        <w:tc>
          <w:tcPr/>
          <w:p>
            <w:pPr>
              <w:pStyle w:val="Compact"/>
              <w:jc w:val="left"/>
            </w:pPr>
            <w:r>
              <w:t xml:space="preserve">3404.90</w:t>
            </w:r>
          </w:p>
        </w:tc>
      </w:tr>
      <w:tr>
        <w:tc>
          <w:tcPr/>
          <w:p>
            <w:pPr>
              <w:pStyle w:val="Compact"/>
              <w:jc w:val="left"/>
            </w:pPr>
            <w:r>
              <w:t xml:space="preserve">07</w:t>
            </w:r>
          </w:p>
        </w:tc>
        <w:tc>
          <w:tcPr/>
          <w:p>
            <w:pPr>
              <w:pStyle w:val="Compact"/>
              <w:jc w:val="left"/>
            </w:pPr>
            <w:r>
              <w:t xml:space="preserve">Distilled Water, USP grade, 20 L jugs — for general laboratory and chemist dilution purposes</w:t>
            </w:r>
          </w:p>
        </w:tc>
        <w:tc>
          <w:tcPr/>
          <w:p>
            <w:pPr>
              <w:pStyle w:val="Compact"/>
              <w:jc w:val="left"/>
            </w:pPr>
            <w:r>
              <w:t xml:space="preserve">50</w:t>
            </w:r>
          </w:p>
        </w:tc>
        <w:tc>
          <w:tcPr/>
          <w:p>
            <w:pPr>
              <w:pStyle w:val="Compact"/>
              <w:jc w:val="left"/>
            </w:pPr>
            <w:r>
              <w:t xml:space="preserve">Jugs</w:t>
            </w:r>
          </w:p>
        </w:tc>
        <w:tc>
          <w:tcPr/>
          <w:p>
            <w:pPr>
              <w:pStyle w:val="Compact"/>
              <w:jc w:val="left"/>
            </w:pPr>
            <w:r>
              <w:t xml:space="preserve">32,000</w:t>
            </w:r>
          </w:p>
        </w:tc>
        <w:tc>
          <w:tcPr/>
          <w:p>
            <w:pPr>
              <w:pStyle w:val="Compact"/>
              <w:jc w:val="left"/>
            </w:pPr>
            <w:r>
              <w:t xml:space="preserve">1,600,000</w:t>
            </w:r>
          </w:p>
        </w:tc>
        <w:tc>
          <w:tcPr/>
          <w:p>
            <w:pPr>
              <w:pStyle w:val="Compact"/>
              <w:jc w:val="left"/>
            </w:pPr>
            <w:r>
              <w:t xml:space="preserve">2201.10</w:t>
            </w:r>
          </w:p>
        </w:tc>
      </w:tr>
      <w:tr>
        <w:tc>
          <w:tcPr/>
          <w:p>
            <w:pPr>
              <w:pStyle w:val="Compact"/>
              <w:jc w:val="left"/>
            </w:pPr>
            <w:r>
              <w:t xml:space="preserve">08</w:t>
            </w:r>
          </w:p>
        </w:tc>
        <w:tc>
          <w:tcPr/>
          <w:p>
            <w:pPr>
              <w:pStyle w:val="Compact"/>
              <w:jc w:val="left"/>
            </w:pPr>
            <w:r>
              <w:t xml:space="preserve">Nitrile Gloves, powder-free, size M, 100 pcs/box — PPE for chemist handling hazardous reagents</w:t>
            </w:r>
          </w:p>
        </w:tc>
        <w:tc>
          <w:tcPr/>
          <w:p>
            <w:pPr>
              <w:pStyle w:val="Compact"/>
              <w:jc w:val="left"/>
            </w:pPr>
            <w:r>
              <w:t xml:space="preserve">80</w:t>
            </w:r>
          </w:p>
        </w:tc>
        <w:tc>
          <w:tcPr/>
          <w:p>
            <w:pPr>
              <w:pStyle w:val="Compact"/>
              <w:jc w:val="left"/>
            </w:pPr>
            <w:r>
              <w:t xml:space="preserve">Boxes</w:t>
            </w:r>
          </w:p>
        </w:tc>
        <w:tc>
          <w:tcPr/>
          <w:p>
            <w:pPr>
              <w:pStyle w:val="Compact"/>
              <w:jc w:val="left"/>
            </w:pPr>
            <w:r>
              <w:t xml:space="preserve">45,000</w:t>
            </w:r>
          </w:p>
        </w:tc>
        <w:tc>
          <w:tcPr/>
          <w:p>
            <w:pPr>
              <w:pStyle w:val="Compact"/>
              <w:jc w:val="left"/>
            </w:pPr>
            <w:r>
              <w:t xml:space="preserve">3,600,000</w:t>
            </w:r>
          </w:p>
        </w:tc>
        <w:tc>
          <w:tcPr/>
          <w:p>
            <w:pPr>
              <w:pStyle w:val="Compact"/>
              <w:jc w:val="left"/>
            </w:pPr>
            <w:r>
              <w:t xml:space="preserve">4015.12</w:t>
            </w:r>
          </w:p>
        </w:tc>
      </w:tr>
      <w:tr>
        <w:tc>
          <w:tcPr/>
          <w:p>
            <w:pPr>
              <w:pStyle w:val="Compact"/>
              <w:jc w:val="left"/>
            </w:pPr>
            <w:r>
              <w:t xml:space="preserve">09</w:t>
            </w:r>
          </w:p>
        </w:tc>
        <w:tc>
          <w:tcPr/>
          <w:p>
            <w:pPr>
              <w:pStyle w:val="Compact"/>
              <w:jc w:val="left"/>
            </w:pPr>
            <w:r>
              <w:t xml:space="preserve">Lab Coats, cotton-blend, size L, with pockets — standard attire for chemist personnel in Bogotá facilities</w:t>
            </w:r>
          </w:p>
        </w:tc>
        <w:tc>
          <w:tcPr/>
          <w:p>
            <w:pPr>
              <w:pStyle w:val="Compact"/>
              <w:jc w:val="left"/>
            </w:pPr>
            <w:r>
              <w:t xml:space="preserve">30</w:t>
            </w:r>
          </w:p>
        </w:tc>
        <w:tc>
          <w:tcPr/>
          <w:p>
            <w:pPr>
              <w:pStyle w:val="Compact"/>
              <w:jc w:val="left"/>
            </w:pPr>
            <w:r>
              <w:t xml:space="preserve">Units</w:t>
            </w:r>
          </w:p>
        </w:tc>
        <w:tc>
          <w:tcPr/>
          <w:p>
            <w:pPr>
              <w:pStyle w:val="Compact"/>
              <w:jc w:val="left"/>
            </w:pPr>
            <w:r>
              <w:t xml:space="preserve">89,000</w:t>
            </w:r>
          </w:p>
        </w:tc>
        <w:tc>
          <w:tcPr/>
          <w:p>
            <w:pPr>
              <w:pStyle w:val="Compact"/>
              <w:jc w:val="left"/>
            </w:pPr>
            <w:r>
              <w:t xml:space="preserve">2,670,000</w:t>
            </w:r>
          </w:p>
        </w:tc>
        <w:tc>
          <w:tcPr/>
          <w:p>
            <w:pPr>
              <w:pStyle w:val="Compact"/>
              <w:jc w:val="left"/>
            </w:pPr>
            <w:r>
              <w:t xml:space="preserve">6211.42</w:t>
            </w:r>
          </w:p>
        </w:tc>
      </w:tr>
      <w:tr>
        <w:tc>
          <w:tcPr/>
          <w:p>
            <w:pPr>
              <w:pStyle w:val="Compact"/>
              <w:jc w:val="left"/>
            </w:pPr>
            <w:r>
              <w:t xml:space="preserve">10</w:t>
            </w:r>
          </w:p>
        </w:tc>
        <w:tc>
          <w:tcPr/>
          <w:p>
            <w:pPr>
              <w:pStyle w:val="Compact"/>
              <w:jc w:val="left"/>
            </w:pPr>
            <w:r>
              <w:t xml:space="preserve">MSDS / Safety Data Sheets (updated 2025 edition) for all chemical products listed above — mandatory documentation per Colombian regulation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N/A</w:t>
            </w:r>
          </w:p>
        </w:tc>
      </w:tr>
      <w:tr>
        <w:tc>
          <w:tcPr>
            <w:gridSpan w:val="5"/>
          </w:tcPr>
          <w:p>
            <w:pPr>
              <w:pStyle w:val="Compact"/>
              <w:jc w:val="right"/>
            </w:pPr>
            <w:r>
              <w:t xml:space="preserve">SUBTOTAL</w:t>
            </w:r>
          </w:p>
        </w:tc>
        <w:tc>
          <w:tcPr/>
          <w:p>
            <w:pPr>
              <w:pStyle w:val="Compact"/>
              <w:jc w:val="left"/>
            </w:pPr>
            <w:r>
              <w:t xml:space="preserve">31,966,500</w:t>
            </w:r>
          </w:p>
        </w:tc>
        <w:tc>
          <w:tcPr/>
          <w:p>
            <w:pPr>
              <w:pStyle w:val="Compact"/>
            </w:pPr>
          </w:p>
        </w:tc>
      </w:tr>
      <w:tr>
        <w:tc>
          <w:tcPr>
            <w:gridSpan w:val="5"/>
          </w:tcPr>
          <w:p>
            <w:pPr>
              <w:pStyle w:val="Compact"/>
              <w:jc w:val="right"/>
            </w:pPr>
            <w:r>
              <w:t xml:space="preserve">IVA (19% VAT — Colombian Tax Code)</w:t>
            </w:r>
          </w:p>
        </w:tc>
        <w:tc>
          <w:tcPr/>
          <w:p>
            <w:pPr>
              <w:pStyle w:val="Compact"/>
              <w:jc w:val="left"/>
            </w:pPr>
            <w:r>
              <w:t xml:space="preserve">6,073,635</w:t>
            </w:r>
          </w:p>
        </w:tc>
        <w:tc>
          <w:tcPr/>
          <w:p>
            <w:pPr>
              <w:pStyle w:val="Compact"/>
            </w:pPr>
          </w:p>
        </w:tc>
      </w:tr>
      <w:tr>
        <w:tc>
          <w:tcPr>
            <w:gridSpan w:val="5"/>
          </w:tcPr>
          <w:p>
            <w:pPr>
              <w:pStyle w:val="Compact"/>
              <w:jc w:val="right"/>
            </w:pPr>
            <w:r>
              <w:t xml:space="preserve">FREIGHT &amp; INSURANCE (Bogotá D.C. metropolitan area)</w:t>
            </w:r>
          </w:p>
        </w:tc>
        <w:tc>
          <w:tcPr/>
          <w:p>
            <w:pPr>
              <w:pStyle w:val="Compact"/>
              <w:jc w:val="left"/>
            </w:pPr>
            <w:r>
              <w:t xml:space="preserve">480,000</w:t>
            </w:r>
          </w:p>
        </w:tc>
        <w:tc>
          <w:tcPr/>
          <w:p>
            <w:pPr>
              <w:pStyle w:val="Compact"/>
            </w:pPr>
          </w:p>
        </w:tc>
      </w:tr>
      <w:tr>
        <w:tc>
          <w:tcPr>
            <w:gridSpan w:val="5"/>
          </w:tcPr>
          <w:p>
            <w:pPr>
              <w:pStyle w:val="Compact"/>
              <w:jc w:val="right"/>
            </w:pPr>
            <w:r>
              <w:t xml:space="preserve">GRAND TOTAL (COP)</w:t>
            </w:r>
          </w:p>
        </w:tc>
        <w:tc>
          <w:tcPr/>
          <w:p>
            <w:pPr>
              <w:pStyle w:val="Compact"/>
              <w:jc w:val="left"/>
            </w:pPr>
            <w:r>
              <w:t xml:space="preserve">38,520,135</w:t>
            </w:r>
          </w:p>
        </w:tc>
        <w:tc>
          <w:tcPr/>
          <w:p>
            <w:pPr>
              <w:pStyle w:val="Compact"/>
            </w:pPr>
          </w:p>
        </w:tc>
      </w:tr>
    </w:tbl>
    <w:p>
      <w:pPr>
        <w:pStyle w:val="BodyText"/>
      </w:pPr>
      <w:r>
        <w:t xml:space="preserve">TERMS AND CONDITIONS</w:t>
      </w:r>
    </w:p>
    <w:p>
      <w:pPr>
        <w:numPr>
          <w:ilvl w:val="0"/>
          <w:numId w:val="1001"/>
        </w:numPr>
        <w:pStyle w:val="Compact"/>
      </w:pPr>
      <w:r>
        <w:rPr>
          <w:bCs/>
          <w:b/>
        </w:rPr>
        <w:t xml:space="preserve">Regulatory Compliance:</w:t>
      </w:r>
      <w:r>
        <w:t xml:space="preserve"> </w:t>
      </w:r>
      <w:r>
        <w:t xml:space="preserve">All chemical products supplied under this Purchase Order must comply with the regulations established by INVIMA (Instituto Nacional de Vigilancia de Medicamentos y Alimentos) and the Ministry of Environment of Colombia. The supplier, as a licensed chemist distributor, shall provide certificates of analysis (CoA) and batch numbers for every shipment delivered to our Bogotá facility.</w:t>
      </w:r>
    </w:p>
    <w:p>
      <w:pPr>
        <w:numPr>
          <w:ilvl w:val="0"/>
          <w:numId w:val="1001"/>
        </w:numPr>
        <w:pStyle w:val="Compact"/>
      </w:pPr>
      <w:r>
        <w:rPr>
          <w:bCs/>
          <w:b/>
        </w:rPr>
        <w:t xml:space="preserve">Quality Assurance:</w:t>
      </w:r>
      <w:r>
        <w:t xml:space="preserve"> </w:t>
      </w:r>
      <w:r>
        <w:t xml:space="preserve">The chemist receiving team at Química Andina S.A.S. reserves the right to inspect and test all incoming reagents and materials upon delivery. Any product that does not meet the specified purity grade or fails the incoming quality control protocol will be rejected at the supplier's expense.</w:t>
      </w:r>
    </w:p>
    <w:p>
      <w:pPr>
        <w:numPr>
          <w:ilvl w:val="0"/>
          <w:numId w:val="1001"/>
        </w:numPr>
        <w:pStyle w:val="Compact"/>
      </w:pPr>
      <w:r>
        <w:rPr>
          <w:bCs/>
          <w:b/>
        </w:rPr>
        <w:t xml:space="preserve">Delivery:</w:t>
      </w:r>
      <w:r>
        <w:t xml:space="preserve"> </w:t>
      </w:r>
      <w:r>
        <w:t xml:space="preserve">The supplier shall deliver all items to the designated warehouse in Suba, Bogotá D.C., no later than the required delivery date stated above. Delivery must be made between 07:00 and 16:00 hours, Monday through Friday. The supplier is responsible for all transportation, handling, and insurance of hazardous materials in transit within Colombia.</w:t>
      </w:r>
    </w:p>
    <w:p>
      <w:pPr>
        <w:numPr>
          <w:ilvl w:val="0"/>
          <w:numId w:val="1001"/>
        </w:numPr>
        <w:pStyle w:val="Compact"/>
      </w:pPr>
      <w:r>
        <w:rPr>
          <w:bCs/>
          <w:b/>
        </w:rPr>
        <w:t xml:space="preserve">Payment:</w:t>
      </w:r>
      <w:r>
        <w:t xml:space="preserve"> </w:t>
      </w:r>
      <w:r>
        <w:t xml:space="preserve">Payment shall be made via bank transfer (transferencia electrónica) to the supplier's account in Colombian Pesos (COP) within thirty (30) calendar days from the date of the invoice, provided that all goods have been received and accepted. The supplier must issue a formal electronic invoice (factura electrónica) compliant with DIAN (Dirección de Impuestos y Aduanas Nacionales) regulations in Colombia.</w:t>
      </w:r>
    </w:p>
    <w:p>
      <w:pPr>
        <w:numPr>
          <w:ilvl w:val="0"/>
          <w:numId w:val="1001"/>
        </w:numPr>
        <w:pStyle w:val="Compact"/>
      </w:pPr>
      <w:r>
        <w:rPr>
          <w:bCs/>
          <w:b/>
        </w:rPr>
        <w:t xml:space="preserve">Hazardous Materials Handling:</w:t>
      </w:r>
      <w:r>
        <w:t xml:space="preserve"> </w:t>
      </w:r>
      <w:r>
        <w:t xml:space="preserve">All hazardous chemicals listed in this Purchase Order must be transported in accordance with Colombian Resolution 1003 of 2000 and applicable IATA/IMDG guidelines. The supplier must ensure that all drivers and handlers are certified in hazardous materials transport within the Bogotá metropolitan area.</w:t>
      </w:r>
    </w:p>
    <w:p>
      <w:pPr>
        <w:numPr>
          <w:ilvl w:val="0"/>
          <w:numId w:val="1001"/>
        </w:numPr>
        <w:pStyle w:val="Compact"/>
      </w:pPr>
      <w:r>
        <w:rPr>
          <w:bCs/>
          <w:b/>
        </w:rPr>
        <w:t xml:space="preserve">Warranty:</w:t>
      </w:r>
      <w:r>
        <w:t xml:space="preserve"> </w:t>
      </w:r>
      <w:r>
        <w:t xml:space="preserve">The supplier warrants that all chemical products are new, unused, and of the stated purity grade. Any product found to be degraded, contaminated, or below the specified concentration upon receipt shall be replaced within five (5) business days at no additional cost to the buyer.</w:t>
      </w:r>
    </w:p>
    <w:p>
      <w:pPr>
        <w:numPr>
          <w:ilvl w:val="0"/>
          <w:numId w:val="1001"/>
        </w:numPr>
        <w:pStyle w:val="Compact"/>
      </w:pPr>
      <w:r>
        <w:rPr>
          <w:bCs/>
          <w:b/>
        </w:rPr>
        <w:t xml:space="preserve">Confidentiality:</w:t>
      </w:r>
      <w:r>
        <w:t xml:space="preserve"> </w:t>
      </w:r>
      <w:r>
        <w:t xml:space="preserve">Both parties agree to maintain the confidentiality of pricing, quantities, and business terms contained in this Purchase Order. This document is subject to the commercial secrecy provisions of the Colombian Commercial Code (Código de Comercio).</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Colombia. Any disputes arising from this Purchase Order shall be resolved in the competent commercial courts of Bogotá D.C., Colombia.</w:t>
      </w:r>
    </w:p>
    <w:p>
      <w:pPr>
        <w:numPr>
          <w:ilvl w:val="0"/>
          <w:numId w:val="1001"/>
        </w:numPr>
        <w:pStyle w:val="Compact"/>
      </w:pPr>
      <w:r>
        <w:rPr>
          <w:bCs/>
          <w:b/>
        </w:rPr>
        <w:t xml:space="preserve">Validity:</w:t>
      </w:r>
      <w:r>
        <w:t xml:space="preserve"> </w:t>
      </w:r>
      <w:r>
        <w:t xml:space="preserve">This Purchase Order is valid for a period of fifteen (15) calendar days from the date of issue. If the supplier does not confirm acceptance in writing within this period, the Purchase Order shall be considered null and void.</w:t>
      </w:r>
    </w:p>
    <w:p>
      <w:pPr>
        <w:pStyle w:val="FirstParagraph"/>
      </w:pPr>
      <w:r>
        <w:t xml:space="preserve">NOTES AND SPECIAL INSTRUCTIONS</w:t>
      </w:r>
    </w:p>
    <w:p>
      <w:pPr>
        <w:numPr>
          <w:ilvl w:val="0"/>
          <w:numId w:val="1002"/>
        </w:numPr>
        <w:pStyle w:val="Compact"/>
      </w:pPr>
      <w:r>
        <w:t xml:space="preserve">All chemical containers must bear proper GHS (Globally Harmonized System) labeling as required by Colombian regulation.</w:t>
      </w:r>
    </w:p>
    <w:p>
      <w:pPr>
        <w:numPr>
          <w:ilvl w:val="0"/>
          <w:numId w:val="1002"/>
        </w:numPr>
        <w:pStyle w:val="Compact"/>
      </w:pPr>
      <w:r>
        <w:t xml:space="preserve">The supplier must include a copy of the updated Safety Data Sheet (FDS) in Spanish for each chemical product, as mandated by the chemist safety protocols in Bogotá industrial zones.</w:t>
      </w:r>
    </w:p>
    <w:p>
      <w:pPr>
        <w:numPr>
          <w:ilvl w:val="0"/>
          <w:numId w:val="1002"/>
        </w:numPr>
        <w:pStyle w:val="Compact"/>
      </w:pPr>
      <w:r>
        <w:t xml:space="preserve">Delivery vehicles must display the appropriate placards for hazardous materials when transporting acids and oxidizing agents through Bogotá D.C. roads.</w:t>
      </w:r>
    </w:p>
    <w:p>
      <w:pPr>
        <w:numPr>
          <w:ilvl w:val="0"/>
          <w:numId w:val="1002"/>
        </w:numPr>
        <w:pStyle w:val="Compact"/>
      </w:pPr>
      <w:r>
        <w:t xml:space="preserve">A copy of this Purchase Order must be attached to the delivery note (guía de remisión) for customs and tax record-keeping purposes in Colombia.</w:t>
      </w:r>
    </w:p>
    <w:p>
      <w:pPr>
        <w:pStyle w:val="FirstParagraph"/>
      </w:pPr>
      <w:r>
        <w:rPr>
          <w:bCs/>
          <w:b/>
        </w:rPr>
        <w:t xml:space="preserve">Prepared by (Buyer):</w:t>
      </w:r>
    </w:p>
    <w:p>
      <w:pPr>
        <w:pStyle w:val="BodyText"/>
      </w:pPr>
      <w:r>
        <w:t xml:space="preserve">Dr. Carlos Alberto Mendoza</w:t>
      </w:r>
    </w:p>
    <w:p>
      <w:pPr>
        <w:pStyle w:val="BodyText"/>
      </w:pPr>
      <w:r>
        <w:t xml:space="preserve">Chief Chemist, Química Andina S.A.S.</w:t>
      </w:r>
    </w:p>
    <w:p>
      <w:pPr>
        <w:pStyle w:val="BodyText"/>
      </w:pPr>
      <w:r>
        <w:t xml:space="preserve">Date: June 12, 2025</w:t>
      </w:r>
    </w:p>
    <w:p>
      <w:pPr>
        <w:pStyle w:val="BodyText"/>
      </w:pPr>
      <w:r>
        <w:rPr>
          <w:bCs/>
          <w:b/>
        </w:rPr>
        <w:t xml:space="preserve">Accepted by (Supplier):</w:t>
      </w:r>
    </w:p>
    <w:p>
      <w:pPr>
        <w:pStyle w:val="BodyText"/>
      </w:pPr>
      <w:r>
        <w:t xml:space="preserve">Ing. María Fernanda Restrepo</w:t>
      </w:r>
    </w:p>
    <w:p>
      <w:pPr>
        <w:pStyle w:val="BodyText"/>
      </w:pPr>
      <w:r>
        <w:t xml:space="preserve">Chemist &amp; Sales Director, Laboratorios del Caribe S.A.S.</w:t>
      </w:r>
    </w:p>
    <w:p>
      <w:pPr>
        <w:pStyle w:val="BodyText"/>
      </w:pPr>
      <w:r>
        <w:t xml:space="preserve">Date: ______________________</w:t>
      </w:r>
    </w:p>
    <w:p>
      <w:pPr>
        <w:pStyle w:val="BodyText"/>
      </w:pPr>
      <w:r>
        <w:rPr>
          <w:bCs/>
          <w:b/>
        </w:rPr>
        <w:t xml:space="preserve">Purchase Order PO-BOG-2025-04872</w:t>
      </w:r>
      <w:r>
        <w:t xml:space="preserve"> </w:t>
      </w:r>
      <w:r>
        <w:t xml:space="preserve">| Química Andina S.A.S. — Bogotá D.C., Colombia</w:t>
      </w:r>
    </w:p>
    <w:p>
      <w:pPr>
        <w:pStyle w:val="BodyText"/>
      </w:pPr>
      <w:r>
        <w:t xml:space="preserve">This Purchase Order is a legally binding document under Colombian commercial law. Unauthorized reproduction or distribution is prohibited.</w:t>
      </w:r>
    </w:p>
    <w:p>
      <w:pPr>
        <w:pStyle w:val="BodyText"/>
      </w:pPr>
      <w:r>
        <w:t xml:space="preserve">Document generated on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Supplies - Colombia Bogotá</dc:title>
  <dc:creator/>
  <dc:language>en</dc:language>
  <cp:keywords/>
  <dcterms:created xsi:type="dcterms:W3CDTF">2026-10-10T01:22:20Z</dcterms:created>
  <dcterms:modified xsi:type="dcterms:W3CDTF">2026-10-10T01:22:20Z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