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rPr>
          <w:bCs/>
          <w:b/>
        </w:rPr>
        <w:t xml:space="preserve">Medellín Chemist Supply Co., S.A.S.</w:t>
      </w:r>
    </w:p>
    <w:p>
      <w:pPr>
        <w:pStyle w:val="BodyText"/>
      </w:pPr>
      <w:r>
        <w:t xml:space="preserve">Calle 43 # 52-180, El Poblado, Medellín, Antioquia, Colombia</w:t>
      </w:r>
    </w:p>
    <w:p>
      <w:pPr>
        <w:pStyle w:val="BodyText"/>
      </w:pPr>
      <w:r>
        <w:t xml:space="preserve">NIT: 901.234.567-8 | Phone: +57 (604) 444 5566 | Email: compras@medellinchemist.co</w:t>
      </w:r>
    </w:p>
    <w:p>
      <w:pPr>
        <w:pStyle w:val="BodyText"/>
      </w:pPr>
      <w:r>
        <w:t xml:space="preserve">Regulated by INVIMA – Resolution No. 2024-0891</w:t>
      </w:r>
    </w:p>
    <w:bookmarkEnd w:id="20"/>
    <w:p>
      <w:pPr>
        <w:pStyle w:val="BodyText"/>
      </w:pPr>
      <w:r>
        <w:rPr>
          <w:bCs/>
          <w:b/>
        </w:rPr>
        <w:t xml:space="preserve">Purchase Order No.:</w:t>
      </w:r>
      <w:r>
        <w:t xml:space="preserve"> </w:t>
      </w:r>
      <w:r>
        <w:t xml:space="preserve">PO-MED-CHM-2025-00472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June 26,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Medellín, Colombia</w:t>
      </w:r>
    </w:p>
    <w:p>
      <w:pPr>
        <w:pStyle w:val="BodyText"/>
      </w:pPr>
      <w:r>
        <w:rPr>
          <w:bCs/>
          <w:b/>
        </w:rPr>
        <w:t xml:space="preserve">Currency:</w:t>
      </w:r>
      <w:r>
        <w:t xml:space="preserve"> </w:t>
      </w:r>
      <w:r>
        <w:t xml:space="preserve">Colombian Peso (COP)</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Quimifarma Distribuciones Ltda., a registered Chemist and pharmaceutical distributor</w:t>
            </w:r>
          </w:p>
        </w:tc>
      </w:tr>
      <w:tr>
        <w:tc>
          <w:tcPr/>
          <w:p>
            <w:pPr>
              <w:pStyle w:val="Compact"/>
              <w:jc w:val="left"/>
            </w:pPr>
            <w:r>
              <w:rPr>
                <w:bCs/>
                <w:b/>
              </w:rPr>
              <w:t xml:space="preserve">Address:</w:t>
            </w:r>
          </w:p>
        </w:tc>
        <w:tc>
          <w:tcPr/>
          <w:p>
            <w:pPr>
              <w:pStyle w:val="Compact"/>
              <w:jc w:val="left"/>
            </w:pPr>
            <w:r>
              <w:t xml:space="preserve">Carrera 45A # 25-30, Laureles, Medellín, Antioquia, Colombia</w:t>
            </w:r>
          </w:p>
        </w:tc>
      </w:tr>
      <w:tr>
        <w:tc>
          <w:tcPr/>
          <w:p>
            <w:pPr>
              <w:pStyle w:val="Compact"/>
              <w:jc w:val="left"/>
            </w:pPr>
            <w:r>
              <w:rPr>
                <w:bCs/>
                <w:b/>
              </w:rPr>
              <w:t xml:space="preserve">NIT / Tax ID:</w:t>
            </w:r>
          </w:p>
        </w:tc>
        <w:tc>
          <w:tcPr/>
          <w:p>
            <w:pPr>
              <w:pStyle w:val="Compact"/>
              <w:jc w:val="left"/>
            </w:pPr>
            <w:r>
              <w:t xml:space="preserve">890.456.789-1</w:t>
            </w:r>
          </w:p>
        </w:tc>
      </w:tr>
      <w:tr>
        <w:tc>
          <w:tcPr/>
          <w:p>
            <w:pPr>
              <w:pStyle w:val="Compact"/>
              <w:jc w:val="left"/>
            </w:pPr>
            <w:r>
              <w:rPr>
                <w:bCs/>
                <w:b/>
              </w:rPr>
              <w:t xml:space="preserve">Contact Person:</w:t>
            </w:r>
          </w:p>
        </w:tc>
        <w:tc>
          <w:tcPr/>
          <w:p>
            <w:pPr>
              <w:pStyle w:val="Compact"/>
              <w:jc w:val="left"/>
            </w:pPr>
            <w:r>
              <w:t xml:space="preserve">Dr. Carlos Andrés Restrepo, Pharm.D. – Head of Chemist Operations</w:t>
            </w:r>
          </w:p>
        </w:tc>
      </w:tr>
      <w:tr>
        <w:tc>
          <w:tcPr/>
          <w:p>
            <w:pPr>
              <w:pStyle w:val="Compact"/>
              <w:jc w:val="left"/>
            </w:pPr>
            <w:r>
              <w:rPr>
                <w:bCs/>
                <w:b/>
              </w:rPr>
              <w:t xml:space="preserve">Phone / Email:</w:t>
            </w:r>
          </w:p>
        </w:tc>
        <w:tc>
          <w:tcPr/>
          <w:p>
            <w:pPr>
              <w:pStyle w:val="Compact"/>
              <w:jc w:val="left"/>
            </w:pPr>
            <w:r>
              <w:t xml:space="preserve">+57 (604) 333 7788 / ventas@quimifarmamedellin.co</w:t>
            </w:r>
          </w:p>
        </w:tc>
      </w:tr>
    </w:tbl>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Medellín Chemist Supply Co., S.A.S. – Central Procurement Department</w:t>
            </w:r>
          </w:p>
        </w:tc>
      </w:tr>
      <w:tr>
        <w:tc>
          <w:tcPr/>
          <w:p>
            <w:pPr>
              <w:pStyle w:val="Compact"/>
              <w:jc w:val="left"/>
            </w:pPr>
            <w:r>
              <w:rPr>
                <w:bCs/>
                <w:b/>
              </w:rPr>
              <w:t xml:space="preserve">Address:</w:t>
            </w:r>
          </w:p>
        </w:tc>
        <w:tc>
          <w:tcPr/>
          <w:p>
            <w:pPr>
              <w:pStyle w:val="Compact"/>
              <w:jc w:val="left"/>
            </w:pPr>
            <w:r>
              <w:t xml:space="preserve">Calle 43 # 52-180, El Poblado, Medellín, Antioquia, Colombia</w:t>
            </w:r>
          </w:p>
        </w:tc>
      </w:tr>
      <w:tr>
        <w:tc>
          <w:tcPr/>
          <w:p>
            <w:pPr>
              <w:pStyle w:val="Compact"/>
              <w:jc w:val="left"/>
            </w:pPr>
            <w:r>
              <w:rPr>
                <w:bCs/>
                <w:b/>
              </w:rPr>
              <w:t xml:space="preserve">NIT / Tax ID:</w:t>
            </w:r>
          </w:p>
        </w:tc>
        <w:tc>
          <w:tcPr/>
          <w:p>
            <w:pPr>
              <w:pStyle w:val="Compact"/>
              <w:jc w:val="left"/>
            </w:pPr>
            <w:r>
              <w:t xml:space="preserve">901.234.567-8</w:t>
            </w:r>
          </w:p>
        </w:tc>
      </w:tr>
      <w:tr>
        <w:tc>
          <w:tcPr/>
          <w:p>
            <w:pPr>
              <w:pStyle w:val="Compact"/>
              <w:jc w:val="left"/>
            </w:pPr>
            <w:r>
              <w:rPr>
                <w:bCs/>
                <w:b/>
              </w:rPr>
              <w:t xml:space="preserve">Contact Person:</w:t>
            </w:r>
          </w:p>
        </w:tc>
        <w:tc>
          <w:tcPr/>
          <w:p>
            <w:pPr>
              <w:pStyle w:val="Compact"/>
              <w:jc w:val="left"/>
            </w:pPr>
            <w:r>
              <w:t xml:space="preserve">Lic. María Fernanda Ospina – Procurement Manager</w:t>
            </w:r>
          </w:p>
        </w:tc>
      </w:tr>
      <w:tr>
        <w:tc>
          <w:tcPr/>
          <w:p>
            <w:pPr>
              <w:pStyle w:val="Compact"/>
              <w:jc w:val="left"/>
            </w:pPr>
            <w:r>
              <w:rPr>
                <w:bCs/>
                <w:b/>
              </w:rPr>
              <w:t xml:space="preserve">Phone / Email:</w:t>
            </w:r>
          </w:p>
        </w:tc>
        <w:tc>
          <w:tcPr/>
          <w:p>
            <w:pPr>
              <w:pStyle w:val="Compact"/>
              <w:jc w:val="left"/>
            </w:pPr>
            <w:r>
              <w:t xml:space="preserve">+57 (604) 444 5566 / mospina@medellinchemist.co</w:t>
            </w:r>
          </w:p>
        </w:tc>
      </w:tr>
    </w:tbl>
    <w:p>
      <w:pPr>
        <w:pStyle w:val="BodyText"/>
      </w:pPr>
      <w:r>
        <w:t xml:space="preserve">LINE ITEMS – CHEMIST AND PHARMACEUTICAL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Amoxicillin 500mg capsules, 21-count blister packs – Chemist-grade, INVIMA registered</w:t>
            </w:r>
          </w:p>
        </w:tc>
        <w:tc>
          <w:tcPr/>
          <w:p>
            <w:pPr>
              <w:pStyle w:val="Compact"/>
              <w:jc w:val="left"/>
            </w:pPr>
            <w:r>
              <w:t xml:space="preserve">5,000</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92,500,000</w:t>
            </w:r>
          </w:p>
        </w:tc>
      </w:tr>
      <w:tr>
        <w:tc>
          <w:tcPr/>
          <w:p>
            <w:pPr>
              <w:pStyle w:val="Compact"/>
              <w:jc w:val="left"/>
            </w:pPr>
            <w:r>
              <w:t xml:space="preserve">2</w:t>
            </w:r>
          </w:p>
        </w:tc>
        <w:tc>
          <w:tcPr/>
          <w:p>
            <w:pPr>
              <w:pStyle w:val="Compact"/>
              <w:jc w:val="left"/>
            </w:pPr>
            <w:r>
              <w:t xml:space="preserve">Ibuprofen 400mg tablets, 30-count bottles – for retail Chemist dispensing in Medellín</w:t>
            </w:r>
          </w:p>
        </w:tc>
        <w:tc>
          <w:tcPr/>
          <w:p>
            <w:pPr>
              <w:pStyle w:val="Compact"/>
              <w:jc w:val="left"/>
            </w:pPr>
            <w:r>
              <w:t xml:space="preserve">3,200</w:t>
            </w:r>
          </w:p>
        </w:tc>
        <w:tc>
          <w:tcPr/>
          <w:p>
            <w:pPr>
              <w:pStyle w:val="Compact"/>
              <w:jc w:val="left"/>
            </w:pPr>
            <w:r>
              <w:t xml:space="preserve">Bottles</w:t>
            </w:r>
          </w:p>
        </w:tc>
        <w:tc>
          <w:tcPr/>
          <w:p>
            <w:pPr>
              <w:pStyle w:val="Compact"/>
              <w:jc w:val="left"/>
            </w:pPr>
            <w:r>
              <w:t xml:space="preserve">12,800</w:t>
            </w:r>
          </w:p>
        </w:tc>
        <w:tc>
          <w:tcPr/>
          <w:p>
            <w:pPr>
              <w:pStyle w:val="Compact"/>
              <w:jc w:val="left"/>
            </w:pPr>
            <w:r>
              <w:t xml:space="preserve">40,960,000</w:t>
            </w:r>
          </w:p>
        </w:tc>
      </w:tr>
      <w:tr>
        <w:tc>
          <w:tcPr/>
          <w:p>
            <w:pPr>
              <w:pStyle w:val="Compact"/>
              <w:jc w:val="left"/>
            </w:pPr>
            <w:r>
              <w:t xml:space="preserve">3</w:t>
            </w:r>
          </w:p>
        </w:tc>
        <w:tc>
          <w:tcPr/>
          <w:p>
            <w:pPr>
              <w:pStyle w:val="Compact"/>
              <w:jc w:val="left"/>
            </w:pPr>
            <w:r>
              <w:t xml:space="preserve">Sterile saline solution 0.9%, 500ml IV bags – hospital-grade Chemist supply</w:t>
            </w:r>
          </w:p>
        </w:tc>
        <w:tc>
          <w:tcPr/>
          <w:p>
            <w:pPr>
              <w:pStyle w:val="Compact"/>
              <w:jc w:val="left"/>
            </w:pPr>
            <w:r>
              <w:t xml:space="preserve">8,000</w:t>
            </w:r>
          </w:p>
        </w:tc>
        <w:tc>
          <w:tcPr/>
          <w:p>
            <w:pPr>
              <w:pStyle w:val="Compact"/>
              <w:jc w:val="left"/>
            </w:pPr>
            <w:r>
              <w:t xml:space="preserve">Units</w:t>
            </w:r>
          </w:p>
        </w:tc>
        <w:tc>
          <w:tcPr/>
          <w:p>
            <w:pPr>
              <w:pStyle w:val="Compact"/>
              <w:jc w:val="left"/>
            </w:pPr>
            <w:r>
              <w:t xml:space="preserve">4,200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Nitrile examination gloves, medium size, box of 100 – Chemist PPE requirement</w:t>
            </w:r>
          </w:p>
        </w:tc>
        <w:tc>
          <w:tcPr/>
          <w:p>
            <w:pPr>
              <w:pStyle w:val="Compact"/>
              <w:jc w:val="left"/>
            </w:pPr>
            <w:r>
              <w:t xml:space="preserve">1,500</w:t>
            </w:r>
          </w:p>
        </w:tc>
        <w:tc>
          <w:tcPr/>
          <w:p>
            <w:pPr>
              <w:pStyle w:val="Compact"/>
              <w:jc w:val="left"/>
            </w:pPr>
            <w:r>
              <w:t xml:space="preserve">Boxes</w:t>
            </w:r>
          </w:p>
        </w:tc>
        <w:tc>
          <w:tcPr/>
          <w:p>
            <w:pPr>
              <w:pStyle w:val="Compact"/>
              <w:jc w:val="left"/>
            </w:pPr>
            <w:r>
              <w:t xml:space="preserve">28,000</w:t>
            </w:r>
          </w:p>
        </w:tc>
        <w:tc>
          <w:tcPr/>
          <w:p>
            <w:pPr>
              <w:pStyle w:val="Compact"/>
              <w:jc w:val="left"/>
            </w:pPr>
            <w:r>
              <w:t xml:space="preserve">42,000,000</w:t>
            </w:r>
          </w:p>
        </w:tc>
      </w:tr>
      <w:tr>
        <w:tc>
          <w:tcPr/>
          <w:p>
            <w:pPr>
              <w:pStyle w:val="Compact"/>
              <w:jc w:val="left"/>
            </w:pPr>
            <w:r>
              <w:t xml:space="preserve">5</w:t>
            </w:r>
          </w:p>
        </w:tc>
        <w:tc>
          <w:tcPr/>
          <w:p>
            <w:pPr>
              <w:pStyle w:val="Compact"/>
              <w:jc w:val="left"/>
            </w:pPr>
            <w:r>
              <w:t xml:space="preserve">Digital clinical thermometers, infrared – for Chemist point-of-care use</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17,000,000</w:t>
            </w:r>
          </w:p>
        </w:tc>
      </w:tr>
      <w:tr>
        <w:tc>
          <w:tcPr/>
          <w:p>
            <w:pPr>
              <w:pStyle w:val="Compact"/>
              <w:jc w:val="left"/>
            </w:pPr>
            <w:r>
              <w:t xml:space="preserve">6</w:t>
            </w:r>
          </w:p>
        </w:tc>
        <w:tc>
          <w:tcPr/>
          <w:p>
            <w:pPr>
              <w:pStyle w:val="Compact"/>
              <w:jc w:val="left"/>
            </w:pPr>
            <w:r>
              <w:t xml:space="preserve">Paracetamol 750mg effervescent tablets, 20-count – OTC Chemist product</w:t>
            </w:r>
          </w:p>
        </w:tc>
        <w:tc>
          <w:tcPr/>
          <w:p>
            <w:pPr>
              <w:pStyle w:val="Compact"/>
              <w:jc w:val="left"/>
            </w:pPr>
            <w:r>
              <w:t xml:space="preserve">4,000</w:t>
            </w:r>
          </w:p>
        </w:tc>
        <w:tc>
          <w:tcPr/>
          <w:p>
            <w:pPr>
              <w:pStyle w:val="Compact"/>
              <w:jc w:val="left"/>
            </w:pPr>
            <w:r>
              <w:t xml:space="preserve">Boxes</w:t>
            </w:r>
          </w:p>
        </w:tc>
        <w:tc>
          <w:tcPr/>
          <w:p>
            <w:pPr>
              <w:pStyle w:val="Compact"/>
              <w:jc w:val="left"/>
            </w:pPr>
            <w:r>
              <w:t xml:space="preserve">9,600</w:t>
            </w:r>
          </w:p>
        </w:tc>
        <w:tc>
          <w:tcPr/>
          <w:p>
            <w:pPr>
              <w:pStyle w:val="Compact"/>
              <w:jc w:val="left"/>
            </w:pPr>
            <w:r>
              <w:t xml:space="preserve">38,400,000</w:t>
            </w:r>
          </w:p>
        </w:tc>
      </w:tr>
      <w:tr>
        <w:tc>
          <w:tcPr/>
          <w:p>
            <w:pPr>
              <w:pStyle w:val="Compact"/>
              <w:jc w:val="left"/>
            </w:pPr>
            <w:r>
              <w:t xml:space="preserve">7</w:t>
            </w:r>
          </w:p>
        </w:tc>
        <w:tc>
          <w:tcPr/>
          <w:p>
            <w:pPr>
              <w:pStyle w:val="Compact"/>
              <w:jc w:val="left"/>
            </w:pPr>
            <w:r>
              <w:t xml:space="preserve">Pharmaceutical-grade ethanol 70%, 1-liter bottles – Chemist antiseptic stock</w:t>
            </w:r>
          </w:p>
        </w:tc>
        <w:tc>
          <w:tcPr/>
          <w:p>
            <w:pPr>
              <w:pStyle w:val="Compact"/>
              <w:jc w:val="left"/>
            </w:pPr>
            <w:r>
              <w:t xml:space="preserve">2,000</w:t>
            </w:r>
          </w:p>
        </w:tc>
        <w:tc>
          <w:tcPr/>
          <w:p>
            <w:pPr>
              <w:pStyle w:val="Compact"/>
              <w:jc w:val="left"/>
            </w:pPr>
            <w:r>
              <w:t xml:space="preserve">Bottles</w:t>
            </w:r>
          </w:p>
        </w:tc>
        <w:tc>
          <w:tcPr/>
          <w:p>
            <w:pPr>
              <w:pStyle w:val="Compact"/>
              <w:jc w:val="left"/>
            </w:pPr>
            <w:r>
              <w:t xml:space="preserve">14,500</w:t>
            </w:r>
          </w:p>
        </w:tc>
        <w:tc>
          <w:tcPr/>
          <w:p>
            <w:pPr>
              <w:pStyle w:val="Compact"/>
              <w:jc w:val="left"/>
            </w:pPr>
            <w:r>
              <w:t xml:space="preserve">29,000,000</w:t>
            </w:r>
          </w:p>
        </w:tc>
      </w:tr>
      <w:tr>
        <w:tc>
          <w:tcPr/>
          <w:p>
            <w:pPr>
              <w:pStyle w:val="Compact"/>
              <w:jc w:val="left"/>
            </w:pPr>
            <w:r>
              <w:t xml:space="preserve">8</w:t>
            </w:r>
          </w:p>
        </w:tc>
        <w:tc>
          <w:tcPr/>
          <w:p>
            <w:pPr>
              <w:pStyle w:val="Compact"/>
              <w:jc w:val="left"/>
            </w:pPr>
            <w:r>
              <w:t xml:space="preserve">Refrigerated vaccine storage unit, 200L capacity – for Chemist cold-chain compliance in Medellín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4,850,000</w:t>
            </w:r>
          </w:p>
        </w:tc>
        <w:tc>
          <w:tcPr/>
          <w:p>
            <w:pPr>
              <w:pStyle w:val="Compact"/>
              <w:jc w:val="left"/>
            </w:pPr>
            <w:r>
              <w:t xml:space="preserve">9,700,000</w:t>
            </w:r>
          </w:p>
        </w:tc>
      </w:tr>
      <w:tr>
        <w:tc>
          <w:tcPr>
            <w:gridSpan w:val="5"/>
          </w:tcPr>
          <w:p>
            <w:pPr>
              <w:pStyle w:val="Compact"/>
              <w:jc w:val="right"/>
            </w:pPr>
            <w:r>
              <w:t xml:space="preserve">Subtotal:</w:t>
            </w:r>
          </w:p>
        </w:tc>
        <w:tc>
          <w:tcPr/>
          <w:p>
            <w:pPr>
              <w:pStyle w:val="Compact"/>
              <w:jc w:val="left"/>
            </w:pPr>
            <w:r>
              <w:t xml:space="preserve">303,160,000</w:t>
            </w:r>
          </w:p>
        </w:tc>
      </w:tr>
      <w:tr>
        <w:tc>
          <w:tcPr>
            <w:gridSpan w:val="5"/>
          </w:tcPr>
          <w:p>
            <w:pPr>
              <w:pStyle w:val="Compact"/>
              <w:jc w:val="right"/>
            </w:pPr>
            <w:r>
              <w:t xml:space="preserve">IVA (19% VAT – Colombia):</w:t>
            </w:r>
          </w:p>
        </w:tc>
        <w:tc>
          <w:tcPr/>
          <w:p>
            <w:pPr>
              <w:pStyle w:val="Compact"/>
              <w:jc w:val="left"/>
            </w:pPr>
            <w:r>
              <w:t xml:space="preserve">57,600,400</w:t>
            </w:r>
          </w:p>
        </w:tc>
      </w:tr>
      <w:tr>
        <w:tc>
          <w:tcPr>
            <w:gridSpan w:val="5"/>
          </w:tcPr>
          <w:p>
            <w:pPr>
              <w:pStyle w:val="Compact"/>
              <w:jc w:val="right"/>
            </w:pPr>
            <w:r>
              <w:t xml:space="preserve">GRAND TOTAL (COP):</w:t>
            </w:r>
          </w:p>
        </w:tc>
        <w:tc>
          <w:tcPr/>
          <w:p>
            <w:pPr>
              <w:pStyle w:val="Compact"/>
              <w:jc w:val="left"/>
            </w:pPr>
            <w:r>
              <w:t xml:space="preserve">360,760,400</w:t>
            </w:r>
          </w:p>
        </w:tc>
      </w:tr>
    </w:tbl>
    <w:p>
      <w:pPr>
        <w:pStyle w:val="BodyText"/>
      </w:pPr>
      <w:r>
        <w:t xml:space="preserve">TERMS AND CONDITIONS</w:t>
      </w:r>
    </w:p>
    <w:p>
      <w:pPr>
        <w:numPr>
          <w:ilvl w:val="0"/>
          <w:numId w:val="1001"/>
        </w:numPr>
        <w:pStyle w:val="Compact"/>
      </w:pPr>
      <w:r>
        <w:t xml:space="preserve">This Purchase Order is issued by Medellín Chemist Supply Co., S.A.S. and governs the procurement of pharmaceutical and Chemist-related supplies from the named supplier. All transactions are subject to the commercial regulations of the Republic of Colombia.</w:t>
      </w:r>
    </w:p>
    <w:p>
      <w:pPr>
        <w:numPr>
          <w:ilvl w:val="0"/>
          <w:numId w:val="1001"/>
        </w:numPr>
        <w:pStyle w:val="Compact"/>
      </w:pPr>
      <w:r>
        <w:t xml:space="preserve">The supplier, Quimifarma Distribuciones Ltda., confirms that all products listed herein are registered with INVIMA (Instituto Nacional de Vigilancia de Medicamentos y Alimentos) and comply with the current pharmaceutical regulations applicable in Colombia Medellín and the Antioquia department.</w:t>
      </w:r>
    </w:p>
    <w:p>
      <w:pPr>
        <w:numPr>
          <w:ilvl w:val="0"/>
          <w:numId w:val="1001"/>
        </w:numPr>
        <w:pStyle w:val="Compact"/>
      </w:pPr>
      <w:r>
        <w:t xml:space="preserve">Delivery shall be made to the buyer's central warehouse located at Calle 43 # 52-180, El Poblado, Medellín, Colombia. The supplier is responsible for all transportation, handling, and cold-chain integrity of temperature-sensitive Chemist products until delivery is confirmed by the buyer's receiving team.</w:t>
      </w:r>
    </w:p>
    <w:p>
      <w:pPr>
        <w:numPr>
          <w:ilvl w:val="0"/>
          <w:numId w:val="1001"/>
        </w:numPr>
        <w:pStyle w:val="Compact"/>
      </w:pPr>
      <w:r>
        <w:t xml:space="preserve">Payment shall be made within thirty (30) calendar days from the date of invoice issuance, via electronic bank transfer (EFT) to the supplier's account in Colombian Pesos (COP). Late payments shall accrue interest at the rate established by the Superintendencia Financiera de Colombia.</w:t>
      </w:r>
    </w:p>
    <w:p>
      <w:pPr>
        <w:numPr>
          <w:ilvl w:val="0"/>
          <w:numId w:val="1001"/>
        </w:numPr>
        <w:pStyle w:val="Compact"/>
      </w:pPr>
      <w:r>
        <w:t xml:space="preserve">All pharmaceutical products must be accompanied by their respective batch numbers, manufacturing dates, expiration dates, and INVIMA registration certificates. The Chemist receiving team reserves the right to reject any shipment that does not meet these documentation requirements.</w:t>
      </w:r>
    </w:p>
    <w:p>
      <w:pPr>
        <w:numPr>
          <w:ilvl w:val="0"/>
          <w:numId w:val="1001"/>
        </w:numPr>
        <w:pStyle w:val="Compact"/>
      </w:pPr>
      <w:r>
        <w:t xml:space="preserve">The supplier warrants that all goods are free from defects, properly labeled in Spanish as required by Colombian law, and suitable for resale or dispensing through licensed Chemist establishments in Medellín and the surrounding Antioquia region.</w:t>
      </w:r>
    </w:p>
    <w:p>
      <w:pPr>
        <w:numPr>
          <w:ilvl w:val="0"/>
          <w:numId w:val="1001"/>
        </w:numPr>
        <w:pStyle w:val="Compact"/>
      </w:pPr>
      <w:r>
        <w:t xml:space="preserve">In the event of a dispute arising from this Purchase Order, both parties agree to resolve the matter through mediation in the city of Medellín, Colombia, in accordance with the Colombian Commercial Code (Código de Comercio). If mediation fails, the competent commercial courts of Medellín shall have jurisdiction.</w:t>
      </w:r>
    </w:p>
    <w:p>
      <w:pPr>
        <w:numPr>
          <w:ilvl w:val="0"/>
          <w:numId w:val="1001"/>
        </w:numPr>
        <w:pStyle w:val="Compact"/>
      </w:pPr>
      <w:r>
        <w:t xml:space="preserve">This Purchase Order becomes effective upon written acceptance by both parties. Any modifications must be documented in a written addendum signed by authorized representatives of both the buyer and the Chemist supplier.</w:t>
      </w:r>
    </w:p>
    <w:p>
      <w:pPr>
        <w:numPr>
          <w:ilvl w:val="0"/>
          <w:numId w:val="1001"/>
        </w:numPr>
        <w:pStyle w:val="Compact"/>
      </w:pPr>
      <w:r>
        <w:t xml:space="preserve">The supplier shall maintain valid commercial insurance covering the full value of goods in transit and shall provide proof of such coverage upon request by the buyer's procurement department.</w:t>
      </w:r>
    </w:p>
    <w:p>
      <w:pPr>
        <w:pStyle w:val="FirstParagraph"/>
      </w:pPr>
      <w:r>
        <w:t xml:space="preserve">NOTES AND SPECIAL INSTRUCTIONS</w:t>
      </w:r>
    </w:p>
    <w:p>
      <w:pPr>
        <w:pStyle w:val="BodyText"/>
      </w:pPr>
      <w:r>
        <w:t xml:space="preserve">1. All temperature-sensitive items (Items 3 and 8) must be transported in validated cold-chain equipment maintaining 2°C to 8°C throughout transit within the Medellín metropolitan area.</w:t>
      </w:r>
    </w:p>
    <w:p>
      <w:pPr>
        <w:pStyle w:val="BodyText"/>
      </w:pPr>
      <w:r>
        <w:t xml:space="preserve">2. The supplier must provide a Certificate of Analysis (CoA) for each pharmaceutical batch delivered to the Chemist warehouse.</w:t>
      </w:r>
    </w:p>
    <w:p>
      <w:pPr>
        <w:pStyle w:val="BodyText"/>
      </w:pPr>
      <w:r>
        <w:t xml:space="preserve">3. Delivery windows: Monday through Friday, 8:00 AM to 4:00 PM, local time in Medellín (GMT-5).</w:t>
      </w:r>
    </w:p>
    <w:p>
      <w:pPr>
        <w:pStyle w:val="BodyText"/>
      </w:pPr>
      <w:r>
        <w:t xml:space="preserve">4. This Purchase Order is valid for a period of sixty (60) days from the date of issue. Unfulfilled quantities after this period shall be subject to renegotiation.</w:t>
      </w:r>
    </w:p>
    <w:p>
      <w:pPr>
        <w:pStyle w:val="BodyText"/>
      </w:pPr>
      <w:r>
        <w:rPr>
          <w:bCs/>
          <w:b/>
        </w:rPr>
        <w:t xml:space="preserve">Authorized Buyer</w:t>
      </w:r>
      <w:r>
        <w:br/>
      </w:r>
      <w:r>
        <w:t xml:space="preserve">Lic. María Fernanda Ospina</w:t>
      </w:r>
      <w:r>
        <w:br/>
      </w:r>
      <w:r>
        <w:t xml:space="preserve">Procurement Manager</w:t>
      </w:r>
      <w:r>
        <w:br/>
      </w:r>
      <w:r>
        <w:t xml:space="preserve">Medellín Chemist Supply Co., S.A.S.</w:t>
      </w:r>
      <w:r>
        <w:br/>
      </w:r>
      <w:r>
        <w:t xml:space="preserve">Date: _______________</w:t>
      </w:r>
    </w:p>
    <w:p>
      <w:pPr>
        <w:pStyle w:val="BodyText"/>
      </w:pPr>
      <w:r>
        <w:rPr>
          <w:bCs/>
          <w:b/>
        </w:rPr>
        <w:t xml:space="preserve">Authorized Supplier Representative</w:t>
      </w:r>
      <w:r>
        <w:br/>
      </w:r>
      <w:r>
        <w:t xml:space="preserve">Dr. Carlos Andrés Restrepo, Pharm.D.</w:t>
      </w:r>
      <w:r>
        <w:br/>
      </w:r>
      <w:r>
        <w:t xml:space="preserve">Head of Chemist Operations</w:t>
      </w:r>
      <w:r>
        <w:br/>
      </w:r>
      <w:r>
        <w:t xml:space="preserve">Quimifarma Distribuciones Ltda.</w:t>
      </w:r>
      <w:r>
        <w:br/>
      </w:r>
      <w:r>
        <w:t xml:space="preserve">Date: _______________</w:t>
      </w:r>
    </w:p>
    <w:p>
      <w:pPr>
        <w:pStyle w:val="BodyText"/>
      </w:pPr>
      <w:r>
        <w:t xml:space="preserve">This Purchase Order document was generated for use in Colombia Medellín. All references to Chemist products, pharmaceutical regulations, and commercial terms are governed by the laws of the Republic of Colombia. Document Reference: PO-MED-CHM-2025-00472. For inquiries, contact the Procurement Department at compras@medellinchemist.co.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Colombia Medellín</dc:title>
  <dc:creator/>
  <dc:language>en</dc:language>
  <cp:keywords/>
  <dcterms:created xsi:type="dcterms:W3CDTF">2026-10-10T09:17:34Z</dcterms:created>
  <dcterms:modified xsi:type="dcterms:W3CDTF">2026-10-10T09:17:34Z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