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Chemist</w:t>
      </w:r>
      <w:r>
        <w:t xml:space="preserve"> </w:t>
      </w:r>
      <w:r>
        <w:t xml:space="preserve">Alexandria,</w:t>
      </w:r>
      <w:r>
        <w:t xml:space="preserve"> </w:t>
      </w:r>
      <w:r>
        <w:t xml:space="preserve">Egypt</w:t>
      </w:r>
    </w:p>
    <w:bookmarkStart w:id="20" w:name="purchase-order"/>
    <w:p>
      <w:pPr>
        <w:pStyle w:val="Heading1"/>
      </w:pPr>
      <w:r>
        <w:t xml:space="preserve">PURCHASE ORDER</w:t>
      </w:r>
    </w:p>
    <w:p>
      <w:pPr>
        <w:pStyle w:val="FirstParagraph"/>
      </w:pPr>
      <w:r>
        <w:t xml:space="preserve">Chemist Supply Procurement — Egypt Alexandria</w:t>
      </w:r>
    </w:p>
    <w:p>
      <w:pPr>
        <w:pStyle w:val="BodyText"/>
      </w:pPr>
      <w:r>
        <w:t xml:space="preserve">PO No: ALE-CHEM-2025-04782</w:t>
      </w:r>
    </w:p>
    <w:bookmarkEnd w:id="20"/>
    <w:bookmarkStart w:id="21" w:name="buyer-chemist"/>
    <w:p>
      <w:pPr>
        <w:pStyle w:val="Heading3"/>
      </w:pPr>
      <w:r>
        <w:t xml:space="preserve">Buyer (Chemist)</w:t>
      </w:r>
    </w:p>
    <w:p>
      <w:pPr>
        <w:pStyle w:val="FirstParagraph"/>
      </w:pPr>
      <w:r>
        <w:t xml:space="preserve">Name:</w:t>
      </w:r>
      <w:r>
        <w:t xml:space="preserve"> </w:t>
      </w:r>
      <w:r>
        <w:t xml:space="preserve">Alexandria Coastal Chemist &amp; Pharmacy</w:t>
      </w:r>
    </w:p>
    <w:p>
      <w:pPr>
        <w:pStyle w:val="BodyText"/>
      </w:pPr>
      <w:r>
        <w:t xml:space="preserve">Address:</w:t>
      </w:r>
      <w:r>
        <w:t xml:space="preserve"> </w:t>
      </w:r>
      <w:r>
        <w:t xml:space="preserve">42 Corniche El-Nil Street, Seafront District, Alexandria, Egypt</w:t>
      </w:r>
    </w:p>
    <w:p>
      <w:pPr>
        <w:pStyle w:val="BodyText"/>
      </w:pPr>
      <w:r>
        <w:t xml:space="preserve">Tax ID (VAT):</w:t>
      </w:r>
      <w:r>
        <w:t xml:space="preserve"> </w:t>
      </w:r>
      <w:r>
        <w:t xml:space="preserve">552-881-334-770</w:t>
      </w:r>
    </w:p>
    <w:p>
      <w:pPr>
        <w:pStyle w:val="BodyText"/>
      </w:pPr>
      <w:r>
        <w:t xml:space="preserve">License No:</w:t>
      </w:r>
      <w:r>
        <w:t xml:space="preserve"> </w:t>
      </w:r>
      <w:r>
        <w:t xml:space="preserve">EGY-ALX-PHARM-2019-00342</w:t>
      </w:r>
    </w:p>
    <w:p>
      <w:pPr>
        <w:pStyle w:val="BodyText"/>
      </w:pPr>
      <w:r>
        <w:t xml:space="preserve">Contact:</w:t>
      </w:r>
      <w:r>
        <w:t xml:space="preserve"> </w:t>
      </w:r>
      <w:r>
        <w:t xml:space="preserve">+20 3 482 7719</w:t>
      </w:r>
    </w:p>
    <w:p>
      <w:pPr>
        <w:pStyle w:val="BodyText"/>
      </w:pPr>
      <w:r>
        <w:t xml:space="preserve">Email:</w:t>
      </w:r>
      <w:r>
        <w:t xml:space="preserve"> </w:t>
      </w:r>
      <w:r>
        <w:t xml:space="preserve">orders@alexcoastalchemist.eg</w:t>
      </w:r>
    </w:p>
    <w:bookmarkEnd w:id="21"/>
    <w:bookmarkStart w:id="22" w:name="supplier"/>
    <w:p>
      <w:pPr>
        <w:pStyle w:val="Heading3"/>
      </w:pPr>
      <w:r>
        <w:t xml:space="preserve">Supplier</w:t>
      </w:r>
    </w:p>
    <w:p>
      <w:pPr>
        <w:pStyle w:val="FirstParagraph"/>
      </w:pPr>
      <w:r>
        <w:t xml:space="preserve">Name:</w:t>
      </w:r>
      <w:r>
        <w:t xml:space="preserve"> </w:t>
      </w:r>
      <w:r>
        <w:t xml:space="preserve">Nile Delta Pharmaceutical Distribution Co.</w:t>
      </w:r>
    </w:p>
    <w:p>
      <w:pPr>
        <w:pStyle w:val="BodyText"/>
      </w:pPr>
      <w:r>
        <w:t xml:space="preserve">Address:</w:t>
      </w:r>
      <w:r>
        <w:t xml:space="preserve"> </w:t>
      </w:r>
      <w:r>
        <w:t xml:space="preserve">18 Industrial Zone, 10th of Ramadan City, Sharqia Governorate, Egypt</w:t>
      </w:r>
    </w:p>
    <w:p>
      <w:pPr>
        <w:pStyle w:val="BodyText"/>
      </w:pPr>
      <w:r>
        <w:t xml:space="preserve">Tax ID (VAT):</w:t>
      </w:r>
      <w:r>
        <w:t xml:space="preserve"> </w:t>
      </w:r>
      <w:r>
        <w:t xml:space="preserve">552-447-991-203</w:t>
      </w:r>
    </w:p>
    <w:p>
      <w:pPr>
        <w:pStyle w:val="BodyText"/>
      </w:pPr>
      <w:r>
        <w:t xml:space="preserve">Contact:</w:t>
      </w:r>
      <w:r>
        <w:t xml:space="preserve"> </w:t>
      </w:r>
      <w:r>
        <w:t xml:space="preserve">+20 10 5533 8821</w:t>
      </w:r>
    </w:p>
    <w:p>
      <w:pPr>
        <w:pStyle w:val="BodyText"/>
      </w:pPr>
      <w:r>
        <w:t xml:space="preserve">Email:</w:t>
      </w:r>
      <w:r>
        <w:t xml:space="preserve"> </w:t>
      </w:r>
      <w:r>
        <w:t xml:space="preserve">sales@niledeltapharma.eg</w:t>
      </w:r>
    </w:p>
    <w:bookmarkEnd w:id="22"/>
    <w:bookmarkStart w:id="23" w:name="order-details"/>
    <w:p>
      <w:pPr>
        <w:pStyle w:val="Heading3"/>
      </w:pPr>
      <w:r>
        <w:t xml:space="preserve">Order Details</w:t>
      </w:r>
    </w:p>
    <w:p>
      <w:pPr>
        <w:pStyle w:val="FirstParagraph"/>
      </w:pPr>
      <w:r>
        <w:t xml:space="preserve">Purchase Order Date:</w:t>
      </w:r>
      <w:r>
        <w:t xml:space="preserve"> </w:t>
      </w:r>
      <w:r>
        <w:t xml:space="preserve">June 12, 2025</w:t>
      </w:r>
    </w:p>
    <w:p>
      <w:pPr>
        <w:pStyle w:val="BodyText"/>
      </w:pPr>
      <w:r>
        <w:t xml:space="preserve">Required Delivery Date:</w:t>
      </w:r>
      <w:r>
        <w:t xml:space="preserve"> </w:t>
      </w:r>
      <w:r>
        <w:t xml:space="preserve">June 26, 2025</w:t>
      </w:r>
    </w:p>
    <w:p>
      <w:pPr>
        <w:pStyle w:val="BodyText"/>
      </w:pPr>
      <w:r>
        <w:t xml:space="preserve">Delivery Location:</w:t>
      </w:r>
      <w:r>
        <w:t xml:space="preserve"> </w:t>
      </w:r>
      <w:r>
        <w:t xml:space="preserve">Alexandria Coastal Chemist, Alexandria, Egypt</w:t>
      </w:r>
    </w:p>
    <w:p>
      <w:pPr>
        <w:pStyle w:val="BodyText"/>
      </w:pPr>
      <w:r>
        <w:t xml:space="preserve">Payment Terms:</w:t>
      </w:r>
      <w:r>
        <w:t xml:space="preserve"> </w:t>
      </w:r>
      <w:r>
        <w:t xml:space="preserve">Net 30 days from invoice date</w:t>
      </w:r>
    </w:p>
    <w:p>
      <w:pPr>
        <w:pStyle w:val="BodyText"/>
      </w:pPr>
      <w:r>
        <w:t xml:space="preserve">Currency:</w:t>
      </w:r>
      <w:r>
        <w:t xml:space="preserve"> </w:t>
      </w:r>
      <w:r>
        <w:t xml:space="preserve">Egyptian Pound (EGP)</w:t>
      </w:r>
    </w:p>
    <w:p>
      <w:pPr>
        <w:pStyle w:val="BodyText"/>
      </w:pPr>
      <w:r>
        <w:t xml:space="preserve">Incoterms:</w:t>
      </w:r>
      <w:r>
        <w:t xml:space="preserve"> </w:t>
      </w:r>
      <w:r>
        <w:t xml:space="preserve">DDP Alexandria, Egypt</w:t>
      </w:r>
    </w:p>
    <w:bookmarkEnd w:id="23"/>
    <w:bookmarkStart w:id="25" w:name="X2a3e46bca973d87672afc1666ac85177e639f67"/>
    <w:p>
      <w:pPr>
        <w:pStyle w:val="Heading2"/>
      </w:pPr>
      <w:r>
        <w:t xml:space="preserve">Line Items — Chemist Inventory Replenishment</w:t>
      </w:r>
    </w:p>
    <w:p>
      <w:pPr>
        <w:pStyle w:val="FirstParagraph"/>
      </w:pPr>
      <w:r>
        <w:t xml:space="preserve">The following items are ordered by Alexandria Coastal Chemist to restock its pharmacy shelves and dispensary units serving the residents of Alexandria, Egypt. All pharmaceutical products must comply with the Egyptian Drug Authority (EDA) regulations and carry valid batch and expiry documentation.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NDC</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Line Total (EGP)</w:t>
            </w:r>
          </w:p>
        </w:tc>
      </w:tr>
      <w:tr>
        <w:tc>
          <w:tcPr/>
          <w:p>
            <w:pPr>
              <w:pStyle w:val="Compact"/>
              <w:jc w:val="left"/>
            </w:pPr>
            <w:r>
              <w:t xml:space="preserve">01</w:t>
            </w:r>
          </w:p>
        </w:tc>
        <w:tc>
          <w:tcPr/>
          <w:p>
            <w:pPr>
              <w:pStyle w:val="Compact"/>
              <w:jc w:val="left"/>
            </w:pPr>
            <w:r>
              <w:t xml:space="preserve">Amoxicillin 500mg Capsules (21 caps/box) — Antibiotic, Chemist dispensary stock</w:t>
            </w:r>
          </w:p>
        </w:tc>
        <w:tc>
          <w:tcPr/>
          <w:p>
            <w:pPr>
              <w:pStyle w:val="Compact"/>
              <w:jc w:val="left"/>
            </w:pPr>
            <w:r>
              <w:t xml:space="preserve">EDA-AMX-500-21</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185.00</w:t>
            </w:r>
          </w:p>
        </w:tc>
        <w:tc>
          <w:tcPr/>
          <w:p>
            <w:pPr>
              <w:pStyle w:val="Compact"/>
              <w:jc w:val="left"/>
            </w:pPr>
            <w:r>
              <w:t xml:space="preserve">37,000.00</w:t>
            </w:r>
          </w:p>
        </w:tc>
      </w:tr>
      <w:tr>
        <w:tc>
          <w:tcPr/>
          <w:p>
            <w:pPr>
              <w:pStyle w:val="Compact"/>
              <w:jc w:val="left"/>
            </w:pPr>
            <w:r>
              <w:t xml:space="preserve">02</w:t>
            </w:r>
          </w:p>
        </w:tc>
        <w:tc>
          <w:tcPr/>
          <w:p>
            <w:pPr>
              <w:pStyle w:val="Compact"/>
              <w:jc w:val="left"/>
            </w:pPr>
            <w:r>
              <w:t xml:space="preserve">Ibuprofen 400mg Tablets (20 tabs/box) — Analgesic, Chemist OTC section</w:t>
            </w:r>
          </w:p>
        </w:tc>
        <w:tc>
          <w:tcPr/>
          <w:p>
            <w:pPr>
              <w:pStyle w:val="Compact"/>
              <w:jc w:val="left"/>
            </w:pPr>
            <w:r>
              <w:t xml:space="preserve">EDA-IBU-400-20</w:t>
            </w:r>
          </w:p>
        </w:tc>
        <w:tc>
          <w:tcPr/>
          <w:p>
            <w:pPr>
              <w:pStyle w:val="Compact"/>
              <w:jc w:val="left"/>
            </w:pPr>
            <w:r>
              <w:t xml:space="preserve">350</w:t>
            </w:r>
          </w:p>
        </w:tc>
        <w:tc>
          <w:tcPr/>
          <w:p>
            <w:pPr>
              <w:pStyle w:val="Compact"/>
              <w:jc w:val="left"/>
            </w:pPr>
            <w:r>
              <w:t xml:space="preserve">Boxes</w:t>
            </w:r>
          </w:p>
        </w:tc>
        <w:tc>
          <w:tcPr/>
          <w:p>
            <w:pPr>
              <w:pStyle w:val="Compact"/>
              <w:jc w:val="left"/>
            </w:pPr>
            <w:r>
              <w:t xml:space="preserve">92.50</w:t>
            </w:r>
          </w:p>
        </w:tc>
        <w:tc>
          <w:tcPr/>
          <w:p>
            <w:pPr>
              <w:pStyle w:val="Compact"/>
              <w:jc w:val="left"/>
            </w:pPr>
            <w:r>
              <w:t xml:space="preserve">32,375.00</w:t>
            </w:r>
          </w:p>
        </w:tc>
      </w:tr>
      <w:tr>
        <w:tc>
          <w:tcPr/>
          <w:p>
            <w:pPr>
              <w:pStyle w:val="Compact"/>
              <w:jc w:val="left"/>
            </w:pPr>
            <w:r>
              <w:t xml:space="preserve">03</w:t>
            </w:r>
          </w:p>
        </w:tc>
        <w:tc>
          <w:tcPr/>
          <w:p>
            <w:pPr>
              <w:pStyle w:val="Compact"/>
              <w:jc w:val="left"/>
            </w:pPr>
            <w:r>
              <w:t xml:space="preserve">Omeprazole 20mg Capsules (14 caps/box) — PPI, Chemist prescription shelf</w:t>
            </w:r>
          </w:p>
        </w:tc>
        <w:tc>
          <w:tcPr/>
          <w:p>
            <w:pPr>
              <w:pStyle w:val="Compact"/>
              <w:jc w:val="left"/>
            </w:pPr>
            <w:r>
              <w:t xml:space="preserve">EDA-OMP-20-14</w:t>
            </w:r>
          </w:p>
        </w:tc>
        <w:tc>
          <w:tcPr/>
          <w:p>
            <w:pPr>
              <w:pStyle w:val="Compact"/>
              <w:jc w:val="left"/>
            </w:pPr>
            <w:r>
              <w:t xml:space="preserve">180</w:t>
            </w:r>
          </w:p>
        </w:tc>
        <w:tc>
          <w:tcPr/>
          <w:p>
            <w:pPr>
              <w:pStyle w:val="Compact"/>
              <w:jc w:val="left"/>
            </w:pPr>
            <w:r>
              <w:t xml:space="preserve">Boxes</w:t>
            </w:r>
          </w:p>
        </w:tc>
        <w:tc>
          <w:tcPr/>
          <w:p>
            <w:pPr>
              <w:pStyle w:val="Compact"/>
              <w:jc w:val="left"/>
            </w:pPr>
            <w:r>
              <w:t xml:space="preserve">148.00</w:t>
            </w:r>
          </w:p>
        </w:tc>
        <w:tc>
          <w:tcPr/>
          <w:p>
            <w:pPr>
              <w:pStyle w:val="Compact"/>
              <w:jc w:val="left"/>
            </w:pPr>
            <w:r>
              <w:t xml:space="preserve">26,640.00</w:t>
            </w:r>
          </w:p>
        </w:tc>
      </w:tr>
      <w:tr>
        <w:tc>
          <w:tcPr/>
          <w:p>
            <w:pPr>
              <w:pStyle w:val="Compact"/>
              <w:jc w:val="left"/>
            </w:pPr>
            <w:r>
              <w:t xml:space="preserve">04</w:t>
            </w:r>
          </w:p>
        </w:tc>
        <w:tc>
          <w:tcPr/>
          <w:p>
            <w:pPr>
              <w:pStyle w:val="Compact"/>
              <w:jc w:val="left"/>
            </w:pPr>
            <w:r>
              <w:t xml:space="preserve">Metformin 850mg Tablets (30 tabs/box) — Antidiabetic, Chemist chronic-care stock</w:t>
            </w:r>
          </w:p>
        </w:tc>
        <w:tc>
          <w:tcPr/>
          <w:p>
            <w:pPr>
              <w:pStyle w:val="Compact"/>
              <w:jc w:val="left"/>
            </w:pPr>
            <w:r>
              <w:t xml:space="preserve">EDA-MET-850-30</w:t>
            </w:r>
          </w:p>
        </w:tc>
        <w:tc>
          <w:tcPr/>
          <w:p>
            <w:pPr>
              <w:pStyle w:val="Compact"/>
              <w:jc w:val="left"/>
            </w:pPr>
            <w:r>
              <w:t xml:space="preserve">250</w:t>
            </w:r>
          </w:p>
        </w:tc>
        <w:tc>
          <w:tcPr/>
          <w:p>
            <w:pPr>
              <w:pStyle w:val="Compact"/>
              <w:jc w:val="left"/>
            </w:pPr>
            <w:r>
              <w:t xml:space="preserve">Boxes</w:t>
            </w:r>
          </w:p>
        </w:tc>
        <w:tc>
          <w:tcPr/>
          <w:p>
            <w:pPr>
              <w:pStyle w:val="Compact"/>
              <w:jc w:val="left"/>
            </w:pPr>
            <w:r>
              <w:t xml:space="preserve">112.00</w:t>
            </w:r>
          </w:p>
        </w:tc>
        <w:tc>
          <w:tcPr/>
          <w:p>
            <w:pPr>
              <w:pStyle w:val="Compact"/>
              <w:jc w:val="left"/>
            </w:pPr>
            <w:r>
              <w:t xml:space="preserve">28,000.00</w:t>
            </w:r>
          </w:p>
        </w:tc>
      </w:tr>
      <w:tr>
        <w:tc>
          <w:tcPr/>
          <w:p>
            <w:pPr>
              <w:pStyle w:val="Compact"/>
              <w:jc w:val="left"/>
            </w:pPr>
            <w:r>
              <w:t xml:space="preserve">05</w:t>
            </w:r>
          </w:p>
        </w:tc>
        <w:tc>
          <w:tcPr/>
          <w:p>
            <w:pPr>
              <w:pStyle w:val="Compact"/>
              <w:jc w:val="left"/>
            </w:pPr>
            <w:r>
              <w:t xml:space="preserve">Salbutamol Inhaler 100mcg (200 doses) — Bronchodilator, Chemist respiratory unit</w:t>
            </w:r>
          </w:p>
        </w:tc>
        <w:tc>
          <w:tcPr/>
          <w:p>
            <w:pPr>
              <w:pStyle w:val="Compact"/>
              <w:jc w:val="left"/>
            </w:pPr>
            <w:r>
              <w:t xml:space="preserve">EDA-SAL-100-200</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310.00</w:t>
            </w:r>
          </w:p>
        </w:tc>
        <w:tc>
          <w:tcPr/>
          <w:p>
            <w:pPr>
              <w:pStyle w:val="Compact"/>
              <w:jc w:val="left"/>
            </w:pPr>
            <w:r>
              <w:t xml:space="preserve">37,200.00</w:t>
            </w:r>
          </w:p>
        </w:tc>
      </w:tr>
      <w:tr>
        <w:tc>
          <w:tcPr/>
          <w:p>
            <w:pPr>
              <w:pStyle w:val="Compact"/>
              <w:jc w:val="left"/>
            </w:pPr>
            <w:r>
              <w:t xml:space="preserve">06</w:t>
            </w:r>
          </w:p>
        </w:tc>
        <w:tc>
          <w:tcPr/>
          <w:p>
            <w:pPr>
              <w:pStyle w:val="Compact"/>
              <w:jc w:val="left"/>
            </w:pPr>
            <w:r>
              <w:t xml:space="preserve">Normal Saline 0.9% 500ml IV Bags (10/bag pack) — Chemist infusion supply</w:t>
            </w:r>
          </w:p>
        </w:tc>
        <w:tc>
          <w:tcPr/>
          <w:p>
            <w:pPr>
              <w:pStyle w:val="Compact"/>
              <w:jc w:val="left"/>
            </w:pPr>
            <w:r>
              <w:t xml:space="preserve">EDA-NS-500-10</w:t>
            </w:r>
          </w:p>
        </w:tc>
        <w:tc>
          <w:tcPr/>
          <w:p>
            <w:pPr>
              <w:pStyle w:val="Compact"/>
              <w:jc w:val="left"/>
            </w:pPr>
            <w:r>
              <w:t xml:space="preserve">100</w:t>
            </w:r>
          </w:p>
        </w:tc>
        <w:tc>
          <w:tcPr/>
          <w:p>
            <w:pPr>
              <w:pStyle w:val="Compact"/>
              <w:jc w:val="left"/>
            </w:pPr>
            <w:r>
              <w:t xml:space="preserve">Packs</w:t>
            </w:r>
          </w:p>
        </w:tc>
        <w:tc>
          <w:tcPr/>
          <w:p>
            <w:pPr>
              <w:pStyle w:val="Compact"/>
              <w:jc w:val="left"/>
            </w:pPr>
            <w:r>
              <w:t xml:space="preserve">275.00</w:t>
            </w:r>
          </w:p>
        </w:tc>
        <w:tc>
          <w:tcPr/>
          <w:p>
            <w:pPr>
              <w:pStyle w:val="Compact"/>
              <w:jc w:val="left"/>
            </w:pPr>
            <w:r>
              <w:t xml:space="preserve">27,500.00</w:t>
            </w:r>
          </w:p>
        </w:tc>
      </w:tr>
      <w:tr>
        <w:tc>
          <w:tcPr/>
          <w:p>
            <w:pPr>
              <w:pStyle w:val="Compact"/>
              <w:jc w:val="left"/>
            </w:pPr>
            <w:r>
              <w:t xml:space="preserve">07</w:t>
            </w:r>
          </w:p>
        </w:tc>
        <w:tc>
          <w:tcPr/>
          <w:p>
            <w:pPr>
              <w:pStyle w:val="Compact"/>
              <w:jc w:val="left"/>
            </w:pPr>
            <w:r>
              <w:t xml:space="preserve">Medical Gloves, Nitrile, Medium (100 pcs/box) — Chemist PPE restock</w:t>
            </w:r>
          </w:p>
        </w:tc>
        <w:tc>
          <w:tcPr/>
          <w:p>
            <w:pPr>
              <w:pStyle w:val="Compact"/>
              <w:jc w:val="left"/>
            </w:pPr>
            <w:r>
              <w:t xml:space="preserve">EDA-GLV-NIT-M-100</w:t>
            </w:r>
          </w:p>
        </w:tc>
        <w:tc>
          <w:tcPr/>
          <w:p>
            <w:pPr>
              <w:pStyle w:val="Compact"/>
              <w:jc w:val="left"/>
            </w:pPr>
            <w:r>
              <w:t xml:space="preserve">80</w:t>
            </w:r>
          </w:p>
        </w:tc>
        <w:tc>
          <w:tcPr/>
          <w:p>
            <w:pPr>
              <w:pStyle w:val="Compact"/>
              <w:jc w:val="left"/>
            </w:pPr>
            <w:r>
              <w:t xml:space="preserve">Boxes</w:t>
            </w:r>
          </w:p>
        </w:tc>
        <w:tc>
          <w:tcPr/>
          <w:p>
            <w:pPr>
              <w:pStyle w:val="Compact"/>
              <w:jc w:val="left"/>
            </w:pPr>
            <w:r>
              <w:t xml:space="preserve">195.00</w:t>
            </w:r>
          </w:p>
        </w:tc>
        <w:tc>
          <w:tcPr/>
          <w:p>
            <w:pPr>
              <w:pStyle w:val="Compact"/>
              <w:jc w:val="left"/>
            </w:pPr>
            <w:r>
              <w:t xml:space="preserve">15,600.00</w:t>
            </w:r>
          </w:p>
        </w:tc>
      </w:tr>
      <w:tr>
        <w:tc>
          <w:tcPr/>
          <w:p>
            <w:pPr>
              <w:pStyle w:val="Compact"/>
              <w:jc w:val="left"/>
            </w:pPr>
            <w:r>
              <w:t xml:space="preserve">08</w:t>
            </w:r>
          </w:p>
        </w:tc>
        <w:tc>
          <w:tcPr/>
          <w:p>
            <w:pPr>
              <w:pStyle w:val="Compact"/>
              <w:jc w:val="left"/>
            </w:pPr>
            <w:r>
              <w:t xml:space="preserve">Paracetamol 500mg Syrup 120ml (Pediatric) — Chemist pediatric section</w:t>
            </w:r>
          </w:p>
        </w:tc>
        <w:tc>
          <w:tcPr/>
          <w:p>
            <w:pPr>
              <w:pStyle w:val="Compact"/>
              <w:jc w:val="left"/>
            </w:pPr>
            <w:r>
              <w:t xml:space="preserve">EDA-PAR-500-SYR-120</w:t>
            </w:r>
          </w:p>
        </w:tc>
        <w:tc>
          <w:tcPr/>
          <w:p>
            <w:pPr>
              <w:pStyle w:val="Compact"/>
              <w:jc w:val="left"/>
            </w:pPr>
            <w:r>
              <w:t xml:space="preserve">150</w:t>
            </w:r>
          </w:p>
        </w:tc>
        <w:tc>
          <w:tcPr/>
          <w:p>
            <w:pPr>
              <w:pStyle w:val="Compact"/>
              <w:jc w:val="left"/>
            </w:pPr>
            <w:r>
              <w:t xml:space="preserve">Bottles</w:t>
            </w:r>
          </w:p>
        </w:tc>
        <w:tc>
          <w:tcPr/>
          <w:p>
            <w:pPr>
              <w:pStyle w:val="Compact"/>
              <w:jc w:val="left"/>
            </w:pPr>
            <w:r>
              <w:t xml:space="preserve">68.00</w:t>
            </w:r>
          </w:p>
        </w:tc>
        <w:tc>
          <w:tcPr/>
          <w:p>
            <w:pPr>
              <w:pStyle w:val="Compact"/>
              <w:jc w:val="left"/>
            </w:pPr>
            <w:r>
              <w:t xml:space="preserve">10,200.00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214,515.00 EGP</w:t>
            </w:r>
          </w:p>
        </w:tc>
      </w:tr>
      <w:tr>
        <w:tc>
          <w:tcPr/>
          <w:p>
            <w:pPr>
              <w:pStyle w:val="Compact"/>
              <w:jc w:val="left"/>
            </w:pPr>
            <w:r>
              <w:t xml:space="preserve">VAT (14% — Egypt Standard Rate)</w:t>
            </w:r>
          </w:p>
        </w:tc>
        <w:tc>
          <w:tcPr/>
          <w:p>
            <w:pPr>
              <w:pStyle w:val="Compact"/>
              <w:jc w:val="right"/>
            </w:pPr>
            <w:r>
              <w:t xml:space="preserve">30,032.10 EGP</w:t>
            </w:r>
          </w:p>
        </w:tc>
      </w:tr>
      <w:tr>
        <w:tc>
          <w:tcPr/>
          <w:p>
            <w:pPr>
              <w:pStyle w:val="Compact"/>
              <w:jc w:val="left"/>
            </w:pPr>
            <w:r>
              <w:t xml:space="preserve">Delivery &amp; Handling (Alexandria, Egypt)</w:t>
            </w:r>
          </w:p>
        </w:tc>
        <w:tc>
          <w:tcPr/>
          <w:p>
            <w:pPr>
              <w:pStyle w:val="Compact"/>
              <w:jc w:val="right"/>
            </w:pPr>
            <w:r>
              <w:t xml:space="preserve">2,500.00 EGP</w:t>
            </w:r>
          </w:p>
        </w:tc>
      </w:tr>
      <w:tr>
        <w:tc>
          <w:tcPr/>
          <w:p>
            <w:pPr>
              <w:pStyle w:val="Compact"/>
              <w:jc w:val="left"/>
            </w:pPr>
            <w:r>
              <w:t xml:space="preserve">Grand Total</w:t>
            </w:r>
          </w:p>
        </w:tc>
        <w:tc>
          <w:tcPr/>
          <w:p>
            <w:pPr>
              <w:pStyle w:val="Compact"/>
              <w:jc w:val="right"/>
            </w:pPr>
            <w:r>
              <w:t xml:space="preserve">247,047.10 EGP</w:t>
            </w:r>
          </w:p>
        </w:tc>
      </w:tr>
    </w:tbl>
    <w:bookmarkStart w:id="24" w:name="X7be23656b9b8e7f32e9dce87d1346a0d4c554bc"/>
    <w:p>
      <w:pPr>
        <w:pStyle w:val="Heading3"/>
      </w:pPr>
      <w:r>
        <w:t xml:space="preserve">Terms &amp; Conditions — Purchase Order for Chemist Operations in Egypt Alexandria</w:t>
      </w:r>
    </w:p>
    <w:p>
      <w:pPr>
        <w:numPr>
          <w:ilvl w:val="0"/>
          <w:numId w:val="1001"/>
        </w:numPr>
        <w:pStyle w:val="Compact"/>
      </w:pPr>
      <w:r>
        <w:t xml:space="preserve">This Purchase Order is issued by Alexandria Coastal Chemist, a licensed pharmacy operating in Alexandria, Egypt, and is governed by the laws of the Arab Republic of Egypt, including the Egyptian Drug Authority (EDA) regulations and the Egyptian Commercial Code.</w:t>
      </w:r>
    </w:p>
    <w:p>
      <w:pPr>
        <w:numPr>
          <w:ilvl w:val="0"/>
          <w:numId w:val="1001"/>
        </w:numPr>
        <w:pStyle w:val="Compact"/>
      </w:pPr>
      <w:r>
        <w:t xml:space="preserve">All pharmaceutical products listed above must be in full compliance with EDA registration requirements. The supplier shall provide certificates of analysis, batch numbers, manufacturing dates, and expiry dates for every item delivered to the Chemist facility in Alexandria.</w:t>
      </w:r>
    </w:p>
    <w:p>
      <w:pPr>
        <w:numPr>
          <w:ilvl w:val="0"/>
          <w:numId w:val="1001"/>
        </w:numPr>
        <w:pStyle w:val="Compact"/>
      </w:pPr>
      <w:r>
        <w:t xml:space="preserve">Delivery shall be made to the Chemist premises at 42 Corniche El-Nil Street, Seafront District, Alexandria, Egypt, no later than June 26, 2025. Late delivery beyond five (5) business days entitles the Chemist to cancel this Purchase Order without penalty.</w:t>
      </w:r>
    </w:p>
    <w:p>
      <w:pPr>
        <w:numPr>
          <w:ilvl w:val="0"/>
          <w:numId w:val="1001"/>
        </w:numPr>
        <w:pStyle w:val="Compact"/>
      </w:pPr>
      <w:r>
        <w:t xml:space="preserve">Payment shall be made within thirty (30) calendar days of the supplier's invoice date via bank transfer to the supplier's designated account. The Chemist reserves the right to withhold payment for any items found to be expired, damaged, or non-compliant upon receipt inspection.</w:t>
      </w:r>
    </w:p>
    <w:p>
      <w:pPr>
        <w:numPr>
          <w:ilvl w:val="0"/>
          <w:numId w:val="1001"/>
        </w:numPr>
        <w:pStyle w:val="Compact"/>
      </w:pPr>
      <w:r>
        <w:t xml:space="preserve">The supplier warrants that all goods are new, unopened, and stored under appropriate temperature and humidity conditions during transit to Alexandria, Egypt. Cold-chain items (if applicable) must be shipped with temperature-logging devices.</w:t>
      </w:r>
    </w:p>
    <w:p>
      <w:pPr>
        <w:numPr>
          <w:ilvl w:val="0"/>
          <w:numId w:val="1001"/>
        </w:numPr>
        <w:pStyle w:val="Compact"/>
      </w:pPr>
      <w:r>
        <w:t xml:space="preserve">Any dispute arising from this Purchase Order shall be resolved through the competent commercial courts in Alexandria, Egypt. Both parties agree to attempt amicable resolution before initiating legal proceedings.</w:t>
      </w:r>
    </w:p>
    <w:p>
      <w:pPr>
        <w:numPr>
          <w:ilvl w:val="0"/>
          <w:numId w:val="1001"/>
        </w:numPr>
        <w:pStyle w:val="Compact"/>
      </w:pPr>
      <w:r>
        <w:t xml:space="preserve">This Purchase Order is valid for a period of sixty (60) days from the issue date. The Chemist may amend or cancel this order in writing prior to the supplier's confirmation of shipment.</w:t>
      </w:r>
    </w:p>
    <w:p>
      <w:pPr>
        <w:numPr>
          <w:ilvl w:val="0"/>
          <w:numId w:val="1001"/>
        </w:numPr>
        <w:pStyle w:val="Compact"/>
      </w:pPr>
      <w:r>
        <w:t xml:space="preserve">The supplier shall maintain full insurance coverage for goods in transit to the Chemist location in Alexandria, Egypt, and shall be liable for any loss or damage occurring during delivery.</w:t>
      </w:r>
    </w:p>
    <w:bookmarkEnd w:id="24"/>
    <w:p>
      <w:pPr>
        <w:pStyle w:val="FirstParagraph"/>
      </w:pPr>
      <w:r>
        <w:t xml:space="preserve">Authorized by — Chemist (Buyer)</w:t>
      </w:r>
    </w:p>
    <w:p>
      <w:pPr>
        <w:pStyle w:val="BodyText"/>
      </w:pPr>
      <w:r>
        <w:t xml:space="preserve">Alexandria Coastal Chemist &amp; Pharmacy</w:t>
      </w:r>
    </w:p>
    <w:p>
      <w:pPr>
        <w:pStyle w:val="BodyText"/>
      </w:pPr>
      <w:r>
        <w:rPr>
          <w:bCs/>
          <w:b/>
        </w:rPr>
        <w:t xml:space="preserve">Dr. Mahmoud El-Sayed</w:t>
      </w:r>
    </w:p>
    <w:p>
      <w:pPr>
        <w:pStyle w:val="BodyText"/>
      </w:pPr>
      <w:r>
        <w:t xml:space="preserve">Pharmacist-in-Charge</w:t>
      </w:r>
    </w:p>
    <w:p>
      <w:pPr>
        <w:pStyle w:val="BodyText"/>
      </w:pPr>
      <w:r>
        <w:t xml:space="preserve">Date: _______________</w:t>
      </w:r>
    </w:p>
    <w:p>
      <w:pPr>
        <w:pStyle w:val="BodyText"/>
      </w:pPr>
      <w:r>
        <w:t xml:space="preserve">Accepted by — Supplier</w:t>
      </w:r>
    </w:p>
    <w:p>
      <w:pPr>
        <w:pStyle w:val="BodyText"/>
      </w:pPr>
      <w:r>
        <w:t xml:space="preserve">Nile Delta Pharmaceutical Distribution Co.</w:t>
      </w:r>
    </w:p>
    <w:p>
      <w:pPr>
        <w:pStyle w:val="BodyText"/>
      </w:pPr>
      <w:r>
        <w:rPr>
          <w:bCs/>
          <w:b/>
        </w:rPr>
        <w:t xml:space="preserve">Mr. Ahmed Hassan</w:t>
      </w:r>
    </w:p>
    <w:p>
      <w:pPr>
        <w:pStyle w:val="BodyText"/>
      </w:pPr>
      <w:r>
        <w:t xml:space="preserve">Sales &amp; Distribution Manager</w:t>
      </w:r>
    </w:p>
    <w:p>
      <w:pPr>
        <w:pStyle w:val="BodyText"/>
      </w:pPr>
      <w:r>
        <w:t xml:space="preserve">Date: _______________</w:t>
      </w:r>
    </w:p>
    <w:p>
      <w:pPr>
        <w:pStyle w:val="BodyText"/>
      </w:pPr>
      <w:r>
        <w:t xml:space="preserve">This Purchase Order document was generated for Alexandria Coastal Chemist &amp; Pharmacy, Alexandria, Egypt. PO Reference: ALE-CHEM-2025-04782. All transactions are subject to Egyptian tax law and EDA regulatory oversight. For inquiries, contact the Chemist's procurement office at +20 3 482 7719.</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Chemist Alexandria, Egypt</dc:title>
  <dc:creator/>
  <dc:language>en</dc:language>
  <cp:keywords/>
  <dcterms:created xsi:type="dcterms:W3CDTF">2026-10-10T06:56:08Z</dcterms:created>
  <dcterms:modified xsi:type="dcterms:W3CDTF">2026-10-10T06:56:08Z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