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Nile Chemist Supply Co. — Egypt Cairo</w:t>
      </w:r>
    </w:p>
    <w:p>
      <w:pPr>
        <w:pStyle w:val="BodyText"/>
      </w:pPr>
      <w:r>
        <w:t xml:space="preserve">Licensed Pharmacy &amp; Chemist Distribution • Giza Road, Dokki District, Cairo, Egypt</w:t>
      </w:r>
    </w:p>
    <w:bookmarkEnd w:id="20"/>
    <w:bookmarkStart w:id="21" w:name="buyer-chemist"/>
    <w:p>
      <w:pPr>
        <w:pStyle w:val="Heading3"/>
      </w:pPr>
      <w:r>
        <w:t xml:space="preserve">Buyer (Chemist)</w:t>
      </w:r>
    </w:p>
    <w:p>
      <w:pPr>
        <w:pStyle w:val="FirstParagraph"/>
      </w:pPr>
      <w:r>
        <w:rPr>
          <w:bCs/>
          <w:b/>
        </w:rPr>
        <w:t xml:space="preserve">Nile Chemist Supply Co.</w:t>
      </w:r>
    </w:p>
    <w:p>
      <w:pPr>
        <w:pStyle w:val="BodyText"/>
      </w:pPr>
      <w:r>
        <w:t xml:space="preserve">Address: 47 Giza Road, Dokki District</w:t>
      </w:r>
    </w:p>
    <w:p>
      <w:pPr>
        <w:pStyle w:val="BodyText"/>
      </w:pPr>
      <w:r>
        <w:t xml:space="preserve">Cairo, Egypt — Postal Code: 12577</w:t>
      </w:r>
    </w:p>
    <w:p>
      <w:pPr>
        <w:pStyle w:val="BodyText"/>
      </w:pPr>
      <w:r>
        <w:t xml:space="preserve">Phone: +20 2 3301 4456</w:t>
      </w:r>
    </w:p>
    <w:p>
      <w:pPr>
        <w:pStyle w:val="BodyText"/>
      </w:pPr>
      <w:r>
        <w:t xml:space="preserve">Email: orders@nilechemist-cairo.com</w:t>
      </w:r>
    </w:p>
    <w:p>
      <w:pPr>
        <w:pStyle w:val="BodyText"/>
      </w:pPr>
      <w:r>
        <w:t xml:space="preserve">Trade License No.: EG-CHM-2024-08812</w:t>
      </w:r>
    </w:p>
    <w:bookmarkEnd w:id="21"/>
    <w:bookmarkStart w:id="22" w:name="supplier"/>
    <w:p>
      <w:pPr>
        <w:pStyle w:val="Heading3"/>
      </w:pPr>
      <w:r>
        <w:t xml:space="preserve">Supplier</w:t>
      </w:r>
    </w:p>
    <w:p>
      <w:pPr>
        <w:pStyle w:val="FirstParagraph"/>
      </w:pPr>
      <w:r>
        <w:rPr>
          <w:bCs/>
          <w:b/>
        </w:rPr>
        <w:t xml:space="preserve">PharmaCairo International Distributors</w:t>
      </w:r>
    </w:p>
    <w:p>
      <w:pPr>
        <w:pStyle w:val="BodyText"/>
      </w:pPr>
      <w:r>
        <w:t xml:space="preserve">Address: 12 Industrial Zone, 10th of Ramadan City</w:t>
      </w:r>
    </w:p>
    <w:p>
      <w:pPr>
        <w:pStyle w:val="BodyText"/>
      </w:pPr>
      <w:r>
        <w:t xml:space="preserve">Cairo Governorate, Egypt — Postal Code: 11411</w:t>
      </w:r>
    </w:p>
    <w:p>
      <w:pPr>
        <w:pStyle w:val="BodyText"/>
      </w:pPr>
      <w:r>
        <w:t xml:space="preserve">Phone: +20 2 2589 7733</w:t>
      </w:r>
    </w:p>
    <w:p>
      <w:pPr>
        <w:pStyle w:val="BodyText"/>
      </w:pPr>
      <w:r>
        <w:t xml:space="preserve">Email: sales@pharmacairo-eg.com</w:t>
      </w:r>
    </w:p>
    <w:p>
      <w:pPr>
        <w:pStyle w:val="BodyText"/>
      </w:pPr>
      <w:r>
        <w:t xml:space="preserve">Commercial Reg. No.: CR-EG-44521</w:t>
      </w:r>
    </w:p>
    <w:bookmarkEnd w:id="22"/>
    <w:p>
      <w:pPr>
        <w:pStyle w:val="BodyText"/>
      </w:pPr>
      <w:r>
        <w:t xml:space="preserve">PO NO.</w:t>
      </w:r>
      <w:r>
        <w:t xml:space="preserve"> </w:t>
      </w:r>
      <w:r>
        <w:t xml:space="preserve">  NC-EGC-2025-00347</w:t>
      </w:r>
    </w:p>
    <w:p>
      <w:pPr>
        <w:pStyle w:val="BodyText"/>
      </w:pPr>
      <w:r>
        <w:rPr>
          <w:bCs/>
          <w:b/>
        </w:rPr>
        <w:t xml:space="preserve">Purchase Order Date: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Delivery Location:</w:t>
      </w:r>
      <w:r>
        <w:t xml:space="preserve"> </w:t>
      </w:r>
      <w:r>
        <w:t xml:space="preserve">Nile Chemist Warehouse, 47 Giza Road, Dokki, Egypt Cairo</w:t>
      </w:r>
    </w:p>
    <w:p>
      <w:pPr>
        <w:pStyle w:val="BodyText"/>
      </w:pPr>
      <w:r>
        <w:rPr>
          <w:bCs/>
          <w:b/>
        </w:rPr>
        <w:t xml:space="preserve">Payment Terms:</w:t>
      </w:r>
      <w:r>
        <w:t xml:space="preserve"> </w:t>
      </w:r>
      <w:r>
        <w:t xml:space="preserve">Net 30 days from invoice date (Egyptian Pounds — EGP)</w:t>
      </w:r>
    </w:p>
    <w:p>
      <w:pPr>
        <w:pStyle w:val="BodyText"/>
      </w:pPr>
      <w:r>
        <w:rPr>
          <w:bCs/>
          <w:b/>
        </w:rPr>
        <w:t xml:space="preserve">Currency:</w:t>
      </w:r>
      <w:r>
        <w:t xml:space="preserve"> </w:t>
      </w:r>
      <w:r>
        <w:t xml:space="preserve">Egyptian Pound (EGP)</w:t>
      </w:r>
    </w:p>
    <w:p>
      <w:pPr>
        <w:pStyle w:val="BodyText"/>
      </w:pPr>
      <w:r>
        <w:rPr>
          <w:bCs/>
          <w:b/>
        </w:rPr>
        <w:t xml:space="preserve">Incoterms:</w:t>
      </w:r>
      <w:r>
        <w:t xml:space="preserve"> </w:t>
      </w:r>
      <w:r>
        <w:t xml:space="preserve">DDP (Delivered Duty Paid) — Egypt Cairo</w:t>
      </w:r>
    </w:p>
    <w:tbl>
      <w:tblPr>
        <w:tblStyle w:val="Table"/>
        <w:tblW w:type="auto" w:w="0"/>
        <w:tblLook w:firstRow="1" w:lastRow="1"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SKU / Batch</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Amoxicillin 500mg Capsules — 24 capsules/box (Chemist-grade antibiotic)</w:t>
            </w:r>
          </w:p>
        </w:tc>
        <w:tc>
          <w:tcPr/>
          <w:p>
            <w:pPr>
              <w:pStyle w:val="Compact"/>
              <w:jc w:val="left"/>
            </w:pPr>
            <w:r>
              <w:t xml:space="preserve">AMX-500-B241</w:t>
            </w:r>
          </w:p>
        </w:tc>
        <w:tc>
          <w:tcPr/>
          <w:p>
            <w:pPr>
              <w:pStyle w:val="Compact"/>
              <w:jc w:val="left"/>
            </w:pPr>
            <w:r>
              <w:t xml:space="preserve">Box</w:t>
            </w:r>
          </w:p>
        </w:tc>
        <w:tc>
          <w:tcPr/>
          <w:p>
            <w:pPr>
              <w:pStyle w:val="Compact"/>
              <w:jc w:val="left"/>
            </w:pPr>
            <w:r>
              <w:t xml:space="preserve">500</w:t>
            </w:r>
          </w:p>
        </w:tc>
        <w:tc>
          <w:tcPr/>
          <w:p>
            <w:pPr>
              <w:pStyle w:val="Compact"/>
              <w:jc w:val="left"/>
            </w:pPr>
            <w:r>
              <w:t xml:space="preserve">42.50</w:t>
            </w:r>
          </w:p>
        </w:tc>
        <w:tc>
          <w:tcPr/>
          <w:p>
            <w:pPr>
              <w:pStyle w:val="Compact"/>
              <w:jc w:val="left"/>
            </w:pPr>
            <w:r>
              <w:t xml:space="preserve">21,250.00</w:t>
            </w:r>
          </w:p>
        </w:tc>
      </w:tr>
      <w:tr>
        <w:tc>
          <w:tcPr/>
          <w:p>
            <w:pPr>
              <w:pStyle w:val="Compact"/>
              <w:jc w:val="left"/>
            </w:pPr>
            <w:r>
              <w:t xml:space="preserve">2</w:t>
            </w:r>
          </w:p>
        </w:tc>
        <w:tc>
          <w:tcPr/>
          <w:p>
            <w:pPr>
              <w:pStyle w:val="Compact"/>
              <w:jc w:val="left"/>
            </w:pPr>
            <w:r>
              <w:t xml:space="preserve">Ibuprofen 400mg Tablets — 20 tablets/strip (Analgesic for Chemist retail)</w:t>
            </w:r>
          </w:p>
        </w:tc>
        <w:tc>
          <w:tcPr/>
          <w:p>
            <w:pPr>
              <w:pStyle w:val="Compact"/>
              <w:jc w:val="left"/>
            </w:pPr>
            <w:r>
              <w:t xml:space="preserve">IBU-400-S203</w:t>
            </w:r>
          </w:p>
        </w:tc>
        <w:tc>
          <w:tcPr/>
          <w:p>
            <w:pPr>
              <w:pStyle w:val="Compact"/>
              <w:jc w:val="left"/>
            </w:pPr>
            <w:r>
              <w:t xml:space="preserve">Strip</w:t>
            </w:r>
          </w:p>
        </w:tc>
        <w:tc>
          <w:tcPr/>
          <w:p>
            <w:pPr>
              <w:pStyle w:val="Compact"/>
              <w:jc w:val="left"/>
            </w:pPr>
            <w:r>
              <w:t xml:space="preserve">1,200</w:t>
            </w:r>
          </w:p>
        </w:tc>
        <w:tc>
          <w:tcPr/>
          <w:p>
            <w:pPr>
              <w:pStyle w:val="Compact"/>
              <w:jc w:val="left"/>
            </w:pPr>
            <w:r>
              <w:t xml:space="preserve">18.75</w:t>
            </w:r>
          </w:p>
        </w:tc>
        <w:tc>
          <w:tcPr/>
          <w:p>
            <w:pPr>
              <w:pStyle w:val="Compact"/>
              <w:jc w:val="left"/>
            </w:pPr>
            <w:r>
              <w:t xml:space="preserve">22,500.00</w:t>
            </w:r>
          </w:p>
        </w:tc>
      </w:tr>
      <w:tr>
        <w:tc>
          <w:tcPr/>
          <w:p>
            <w:pPr>
              <w:pStyle w:val="Compact"/>
              <w:jc w:val="left"/>
            </w:pPr>
            <w:r>
              <w:t xml:space="preserve">3</w:t>
            </w:r>
          </w:p>
        </w:tc>
        <w:tc>
          <w:tcPr/>
          <w:p>
            <w:pPr>
              <w:pStyle w:val="Compact"/>
              <w:jc w:val="left"/>
            </w:pPr>
            <w:r>
              <w:t xml:space="preserve">Salbutamol Inhaler 100mcg — 200 doses (Respiratory, Chemist dispensing)</w:t>
            </w:r>
          </w:p>
        </w:tc>
        <w:tc>
          <w:tcPr/>
          <w:p>
            <w:pPr>
              <w:pStyle w:val="Compact"/>
              <w:jc w:val="left"/>
            </w:pPr>
            <w:r>
              <w:t xml:space="preserve">SAL-100-I200</w:t>
            </w:r>
          </w:p>
        </w:tc>
        <w:tc>
          <w:tcPr/>
          <w:p>
            <w:pPr>
              <w:pStyle w:val="Compact"/>
              <w:jc w:val="left"/>
            </w:pPr>
            <w:r>
              <w:t xml:space="preserve">Unit</w:t>
            </w:r>
          </w:p>
        </w:tc>
        <w:tc>
          <w:tcPr/>
          <w:p>
            <w:pPr>
              <w:pStyle w:val="Compact"/>
              <w:jc w:val="left"/>
            </w:pPr>
            <w:r>
              <w:t xml:space="preserve">300</w:t>
            </w:r>
          </w:p>
        </w:tc>
        <w:tc>
          <w:tcPr/>
          <w:p>
            <w:pPr>
              <w:pStyle w:val="Compact"/>
              <w:jc w:val="left"/>
            </w:pPr>
            <w:r>
              <w:t xml:space="preserve">185.00</w:t>
            </w:r>
          </w:p>
        </w:tc>
        <w:tc>
          <w:tcPr/>
          <w:p>
            <w:pPr>
              <w:pStyle w:val="Compact"/>
              <w:jc w:val="left"/>
            </w:pPr>
            <w:r>
              <w:t xml:space="preserve">55,500.00</w:t>
            </w:r>
          </w:p>
        </w:tc>
      </w:tr>
      <w:tr>
        <w:tc>
          <w:tcPr/>
          <w:p>
            <w:pPr>
              <w:pStyle w:val="Compact"/>
              <w:jc w:val="left"/>
            </w:pPr>
            <w:r>
              <w:t xml:space="preserve">4</w:t>
            </w:r>
          </w:p>
        </w:tc>
        <w:tc>
          <w:tcPr/>
          <w:p>
            <w:pPr>
              <w:pStyle w:val="Compact"/>
              <w:jc w:val="left"/>
            </w:pPr>
            <w:r>
              <w:t xml:space="preserve">Oral Rehydration Salts (ORS) — 20 sachets/box (Pediatric, Egypt Cairo health protocol)</w:t>
            </w:r>
          </w:p>
        </w:tc>
        <w:tc>
          <w:tcPr/>
          <w:p>
            <w:pPr>
              <w:pStyle w:val="Compact"/>
              <w:jc w:val="left"/>
            </w:pPr>
            <w:r>
              <w:t xml:space="preserve">ORS-20-B204</w:t>
            </w:r>
          </w:p>
        </w:tc>
        <w:tc>
          <w:tcPr/>
          <w:p>
            <w:pPr>
              <w:pStyle w:val="Compact"/>
              <w:jc w:val="left"/>
            </w:pPr>
            <w:r>
              <w:t xml:space="preserve">Box</w:t>
            </w:r>
          </w:p>
        </w:tc>
        <w:tc>
          <w:tcPr/>
          <w:p>
            <w:pPr>
              <w:pStyle w:val="Compact"/>
              <w:jc w:val="left"/>
            </w:pPr>
            <w:r>
              <w:t xml:space="preserve">800</w:t>
            </w:r>
          </w:p>
        </w:tc>
        <w:tc>
          <w:tcPr/>
          <w:p>
            <w:pPr>
              <w:pStyle w:val="Compact"/>
              <w:jc w:val="left"/>
            </w:pPr>
            <w:r>
              <w:t xml:space="preserve">35.00</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Vitamin D3 50,000 IU Softgels — 10 caps/box (Chemist supplement line)</w:t>
            </w:r>
          </w:p>
        </w:tc>
        <w:tc>
          <w:tcPr/>
          <w:p>
            <w:pPr>
              <w:pStyle w:val="Compact"/>
              <w:jc w:val="left"/>
            </w:pPr>
            <w:r>
              <w:t xml:space="preserve">VD3-50K-B105</w:t>
            </w:r>
          </w:p>
        </w:tc>
        <w:tc>
          <w:tcPr/>
          <w:p>
            <w:pPr>
              <w:pStyle w:val="Compact"/>
              <w:jc w:val="left"/>
            </w:pPr>
            <w:r>
              <w:t xml:space="preserve">Box</w:t>
            </w:r>
          </w:p>
        </w:tc>
        <w:tc>
          <w:tcPr/>
          <w:p>
            <w:pPr>
              <w:pStyle w:val="Compact"/>
              <w:jc w:val="left"/>
            </w:pPr>
            <w:r>
              <w:t xml:space="preserve">600</w:t>
            </w:r>
          </w:p>
        </w:tc>
        <w:tc>
          <w:tcPr/>
          <w:p>
            <w:pPr>
              <w:pStyle w:val="Compact"/>
              <w:jc w:val="left"/>
            </w:pPr>
            <w:r>
              <w:t xml:space="preserve">55.25</w:t>
            </w:r>
          </w:p>
        </w:tc>
        <w:tc>
          <w:tcPr/>
          <w:p>
            <w:pPr>
              <w:pStyle w:val="Compact"/>
              <w:jc w:val="left"/>
            </w:pPr>
            <w:r>
              <w:t xml:space="preserve">33,150.00</w:t>
            </w:r>
          </w:p>
        </w:tc>
      </w:tr>
      <w:tr>
        <w:tc>
          <w:tcPr/>
          <w:p>
            <w:pPr>
              <w:pStyle w:val="Compact"/>
              <w:jc w:val="left"/>
            </w:pPr>
            <w:r>
              <w:t xml:space="preserve">6</w:t>
            </w:r>
          </w:p>
        </w:tc>
        <w:tc>
          <w:tcPr/>
          <w:p>
            <w:pPr>
              <w:pStyle w:val="Compact"/>
              <w:jc w:val="left"/>
            </w:pPr>
            <w:r>
              <w:t xml:space="preserve">Sterile Gauze Pads 10x10cm — 100 pads/pack (Chemist first-aid supply)</w:t>
            </w:r>
          </w:p>
        </w:tc>
        <w:tc>
          <w:tcPr/>
          <w:p>
            <w:pPr>
              <w:pStyle w:val="Compact"/>
              <w:jc w:val="left"/>
            </w:pPr>
            <w:r>
              <w:t xml:space="preserve">GAU-100-P106</w:t>
            </w:r>
          </w:p>
        </w:tc>
        <w:tc>
          <w:tcPr/>
          <w:p>
            <w:pPr>
              <w:pStyle w:val="Compact"/>
              <w:jc w:val="left"/>
            </w:pPr>
            <w:r>
              <w:t xml:space="preserve">Pack</w:t>
            </w:r>
          </w:p>
        </w:tc>
        <w:tc>
          <w:tcPr/>
          <w:p>
            <w:pPr>
              <w:pStyle w:val="Compact"/>
              <w:jc w:val="left"/>
            </w:pPr>
            <w:r>
              <w:t xml:space="preserve">400</w:t>
            </w:r>
          </w:p>
        </w:tc>
        <w:tc>
          <w:tcPr/>
          <w:p>
            <w:pPr>
              <w:pStyle w:val="Compact"/>
              <w:jc w:val="left"/>
            </w:pPr>
            <w:r>
              <w:t xml:space="preserve">28.00</w:t>
            </w:r>
          </w:p>
        </w:tc>
        <w:tc>
          <w:tcPr/>
          <w:p>
            <w:pPr>
              <w:pStyle w:val="Compact"/>
              <w:jc w:val="left"/>
            </w:pPr>
            <w:r>
              <w:t xml:space="preserve">11,200.00</w:t>
            </w:r>
          </w:p>
        </w:tc>
      </w:tr>
      <w:tr>
        <w:tc>
          <w:tcPr/>
          <w:p>
            <w:pPr>
              <w:pStyle w:val="Compact"/>
              <w:jc w:val="left"/>
            </w:pPr>
            <w:r>
              <w:t xml:space="preserve">7</w:t>
            </w:r>
          </w:p>
        </w:tc>
        <w:tc>
          <w:tcPr/>
          <w:p>
            <w:pPr>
              <w:pStyle w:val="Compact"/>
              <w:jc w:val="left"/>
            </w:pPr>
            <w:r>
              <w:t xml:space="preserve">Digital Thermometer (Clinical) — Chemist counter display unit</w:t>
            </w:r>
          </w:p>
        </w:tc>
        <w:tc>
          <w:tcPr/>
          <w:p>
            <w:pPr>
              <w:pStyle w:val="Compact"/>
              <w:jc w:val="left"/>
            </w:pPr>
            <w:r>
              <w:t xml:space="preserve">THM-CLN-007</w:t>
            </w:r>
          </w:p>
        </w:tc>
        <w:tc>
          <w:tcPr/>
          <w:p>
            <w:pPr>
              <w:pStyle w:val="Compact"/>
              <w:jc w:val="left"/>
            </w:pPr>
            <w:r>
              <w:t xml:space="preserve">Unit</w:t>
            </w:r>
          </w:p>
        </w:tc>
        <w:tc>
          <w:tcPr/>
          <w:p>
            <w:pPr>
              <w:pStyle w:val="Compact"/>
              <w:jc w:val="left"/>
            </w:pPr>
            <w:r>
              <w:t xml:space="preserve">150</w:t>
            </w:r>
          </w:p>
        </w:tc>
        <w:tc>
          <w:tcPr/>
          <w:p>
            <w:pPr>
              <w:pStyle w:val="Compact"/>
              <w:jc w:val="left"/>
            </w:pPr>
            <w:r>
              <w:t xml:space="preserve">220.00</w:t>
            </w:r>
          </w:p>
        </w:tc>
        <w:tc>
          <w:tcPr/>
          <w:p>
            <w:pPr>
              <w:pStyle w:val="Compact"/>
              <w:jc w:val="left"/>
            </w:pPr>
            <w:r>
              <w:t xml:space="preserve">33,000.00</w:t>
            </w:r>
          </w:p>
        </w:tc>
      </w:tr>
      <w:tr>
        <w:tc>
          <w:tcPr/>
          <w:p>
            <w:pPr>
              <w:pStyle w:val="Compact"/>
              <w:jc w:val="left"/>
            </w:pPr>
            <w:r>
              <w:t xml:space="preserve">8</w:t>
            </w:r>
          </w:p>
        </w:tc>
        <w:tc>
          <w:tcPr/>
          <w:p>
            <w:pPr>
              <w:pStyle w:val="Compact"/>
              <w:jc w:val="left"/>
            </w:pPr>
            <w:r>
              <w:t xml:space="preserve">Hand Sanitizer 500ml (70% Alcohol) — Chemist hygiene station, Egypt Cairo standard</w:t>
            </w:r>
          </w:p>
        </w:tc>
        <w:tc>
          <w:tcPr/>
          <w:p>
            <w:pPr>
              <w:pStyle w:val="Compact"/>
              <w:jc w:val="left"/>
            </w:pPr>
            <w:r>
              <w:t xml:space="preserve">HSN-500-008</w:t>
            </w:r>
          </w:p>
        </w:tc>
        <w:tc>
          <w:tcPr/>
          <w:p>
            <w:pPr>
              <w:pStyle w:val="Compact"/>
              <w:jc w:val="left"/>
            </w:pPr>
            <w:r>
              <w:t xml:space="preserve">Bottle</w:t>
            </w:r>
          </w:p>
        </w:tc>
        <w:tc>
          <w:tcPr/>
          <w:p>
            <w:pPr>
              <w:pStyle w:val="Compact"/>
              <w:jc w:val="left"/>
            </w:pPr>
            <w:r>
              <w:t xml:space="preserve">1,000</w:t>
            </w:r>
          </w:p>
        </w:tc>
        <w:tc>
          <w:tcPr/>
          <w:p>
            <w:pPr>
              <w:pStyle w:val="Compact"/>
              <w:jc w:val="left"/>
            </w:pPr>
            <w:r>
              <w:t xml:space="preserve">65.00</w:t>
            </w:r>
          </w:p>
        </w:tc>
        <w:tc>
          <w:tcPr/>
          <w:p>
            <w:pPr>
              <w:pStyle w:val="Compact"/>
              <w:jc w:val="left"/>
            </w:pPr>
            <w:r>
              <w:t xml:space="preserve">65,000.00</w:t>
            </w:r>
          </w:p>
        </w:tc>
      </w:tr>
      <w:tr>
        <w:tc>
          <w:tcPr>
            <w:gridSpan w:val="6"/>
          </w:tcPr>
          <w:p>
            <w:pPr>
              <w:pStyle w:val="Compact"/>
              <w:jc w:val="right"/>
            </w:pPr>
            <w:r>
              <w:t xml:space="preserve">Subtotal:</w:t>
            </w:r>
          </w:p>
        </w:tc>
        <w:tc>
          <w:tcPr/>
          <w:p>
            <w:pPr>
              <w:pStyle w:val="Compact"/>
              <w:jc w:val="left"/>
            </w:pPr>
            <w:r>
              <w:t xml:space="preserve">269,600.00</w:t>
            </w:r>
          </w:p>
        </w:tc>
      </w:tr>
      <w:tr>
        <w:tc>
          <w:tcPr>
            <w:gridSpan w:val="6"/>
          </w:tcPr>
          <w:p>
            <w:pPr>
              <w:pStyle w:val="Compact"/>
              <w:jc w:val="right"/>
            </w:pPr>
            <w:r>
              <w:t xml:space="preserve">VAT (14% — Egypt Tax Authority):</w:t>
            </w:r>
          </w:p>
        </w:tc>
        <w:tc>
          <w:tcPr/>
          <w:p>
            <w:pPr>
              <w:pStyle w:val="Compact"/>
              <w:jc w:val="left"/>
            </w:pPr>
            <w:r>
              <w:t xml:space="preserve">37,744.00</w:t>
            </w:r>
          </w:p>
        </w:tc>
      </w:tr>
      <w:tr>
        <w:tc>
          <w:tcPr>
            <w:gridSpan w:val="6"/>
          </w:tcPr>
          <w:p>
            <w:pPr>
              <w:pStyle w:val="Compact"/>
              <w:jc w:val="right"/>
            </w:pPr>
            <w:r>
              <w:t xml:space="preserve">Delivery &amp; Handling (Egypt Cairo zone):</w:t>
            </w:r>
          </w:p>
        </w:tc>
        <w:tc>
          <w:tcPr/>
          <w:p>
            <w:pPr>
              <w:pStyle w:val="Compact"/>
              <w:jc w:val="left"/>
            </w:pPr>
            <w:r>
              <w:t xml:space="preserve">4,500.00</w:t>
            </w:r>
          </w:p>
        </w:tc>
      </w:tr>
      <w:tr>
        <w:tc>
          <w:tcPr>
            <w:gridSpan w:val="6"/>
          </w:tcPr>
          <w:p>
            <w:pPr>
              <w:pStyle w:val="Compact"/>
              <w:jc w:val="right"/>
            </w:pPr>
            <w:r>
              <w:t xml:space="preserve">TOTAL AMOUNT DUE (EGP):</w:t>
            </w:r>
          </w:p>
        </w:tc>
        <w:tc>
          <w:tcPr/>
          <w:p>
            <w:pPr>
              <w:pStyle w:val="Compact"/>
              <w:jc w:val="left"/>
            </w:pPr>
            <w:r>
              <w:t xml:space="preserve">311,844.00</w:t>
            </w:r>
          </w:p>
        </w:tc>
      </w:tr>
    </w:tbl>
    <w:bookmarkStart w:id="23" w:name="terms-conditions-of-this-purchase-order"/>
    <w:p>
      <w:pPr>
        <w:pStyle w:val="Heading3"/>
      </w:pPr>
      <w:r>
        <w:t xml:space="preserve">Terms &amp; Conditions of This Purchase Order</w:t>
      </w:r>
    </w:p>
    <w:p>
      <w:pPr>
        <w:numPr>
          <w:ilvl w:val="0"/>
          <w:numId w:val="1001"/>
        </w:numPr>
        <w:pStyle w:val="Compact"/>
      </w:pPr>
      <w:r>
        <w:t xml:space="preserve">This Purchase Order is issued by Nile Chemist Supply Co., a licensed Chemist and pharmacy distributor operating in Egypt Cairo, and constitutes a binding request for the supply of pharmaceutical and medical products as itemized above.</w:t>
      </w:r>
    </w:p>
    <w:p>
      <w:pPr>
        <w:numPr>
          <w:ilvl w:val="0"/>
          <w:numId w:val="1001"/>
        </w:numPr>
        <w:pStyle w:val="Compact"/>
      </w:pPr>
      <w:r>
        <w:t xml:space="preserve">All products listed in this Purchase Order must comply with the Egyptian Drug Authority (EDA) regulations and must carry valid import permits, batch certificates, and expiry dates of no less than 18 months from the date of delivery to the Chemist warehouse in Egypt Cairo.</w:t>
      </w:r>
    </w:p>
    <w:p>
      <w:pPr>
        <w:numPr>
          <w:ilvl w:val="0"/>
          <w:numId w:val="1001"/>
        </w:numPr>
        <w:pStyle w:val="Compact"/>
      </w:pPr>
      <w:r>
        <w:t xml:space="preserve">The supplier shall deliver all goods to the designated Chemist facility located in Dokki, Egypt Cairo, no later than the required delivery date stated above. Late delivery beyond five (5) business days entitles the Chemist buyer to cancel this Purchase Order without penalty.</w:t>
      </w:r>
    </w:p>
    <w:p>
      <w:pPr>
        <w:numPr>
          <w:ilvl w:val="0"/>
          <w:numId w:val="1001"/>
        </w:numPr>
        <w:pStyle w:val="Compact"/>
      </w:pPr>
      <w:r>
        <w:t xml:space="preserve">Payment shall be made in Egyptian Pounds (EGP) via bank transfer to the supplier's registered account within thirty (30) calendar days of receipt of a valid commercial invoice and delivery confirmation at the Chemist receiving dock in Egypt Cairo.</w:t>
      </w:r>
    </w:p>
    <w:p>
      <w:pPr>
        <w:numPr>
          <w:ilvl w:val="0"/>
          <w:numId w:val="1001"/>
        </w:numPr>
        <w:pStyle w:val="Compact"/>
      </w:pPr>
      <w:r>
        <w:t xml:space="preserve">The Chemist buyer reserves the right to inspect all incoming goods upon arrival. Any items found damaged, expired, or not matching the specifications in this Purchase Order shall be rejected and must be replaced by the supplier within seven (7) business days at no additional cost.</w:t>
      </w:r>
    </w:p>
    <w:p>
      <w:pPr>
        <w:numPr>
          <w:ilvl w:val="0"/>
          <w:numId w:val="1001"/>
        </w:numPr>
        <w:pStyle w:val="Compact"/>
      </w:pPr>
      <w:r>
        <w:t xml:space="preserve">All pharmaceutical products must be stored and transported in compliance with Egypt Cairo health and safety standards, including temperature-controlled logistics for sensitive items such as inhalers and injectables.</w:t>
      </w:r>
    </w:p>
    <w:p>
      <w:pPr>
        <w:numPr>
          <w:ilvl w:val="0"/>
          <w:numId w:val="1001"/>
        </w:numPr>
        <w:pStyle w:val="Compact"/>
      </w:pPr>
      <w:r>
        <w:t xml:space="preserve">This Purchase Order is subject to the commercial laws of the Arab Republic of Egypt. Any disputes arising from this Purchase Order shall be resolved through the competent courts in Cairo, Egypt.</w:t>
      </w:r>
    </w:p>
    <w:p>
      <w:pPr>
        <w:numPr>
          <w:ilvl w:val="0"/>
          <w:numId w:val="1001"/>
        </w:numPr>
        <w:pStyle w:val="Compact"/>
      </w:pPr>
      <w:r>
        <w:t xml:space="preserve">The supplier acknowledges that this Purchase Order is for the exclusive use of a registered Chemist in Egypt Cairo and that all products are intended for licensed retail pharmacy dispensing and shall not be resold outside the Egyptian pharmaceutical distribution network.</w:t>
      </w:r>
    </w:p>
    <w:p>
      <w:pPr>
        <w:numPr>
          <w:ilvl w:val="0"/>
          <w:numId w:val="1001"/>
        </w:numPr>
        <w:pStyle w:val="Compact"/>
      </w:pPr>
      <w:r>
        <w:t xml:space="preserve">Any amendments to this Purchase Order must be made in writing and signed by both the Chemist buyer and the supplier. Verbal modifications are not valid under Egyptian commercial law.</w:t>
      </w:r>
    </w:p>
    <w:bookmarkEnd w:id="23"/>
    <w:p>
      <w:pPr>
        <w:pStyle w:val="FirstParagraph"/>
      </w:pPr>
      <w:r>
        <w:rPr>
          <w:bCs/>
          <w:b/>
        </w:rPr>
        <w:t xml:space="preserve">Authorized by (Chemist Buyer):</w:t>
      </w:r>
    </w:p>
    <w:p>
      <w:pPr>
        <w:pStyle w:val="BodyText"/>
      </w:pPr>
      <w:r>
        <w:t xml:space="preserve">Nile Chemist Supply Co.</w:t>
      </w:r>
    </w:p>
    <w:p>
      <w:pPr>
        <w:pStyle w:val="BodyText"/>
      </w:pPr>
      <w:r>
        <w:t xml:space="preserve">Name: Dr. Ahmed Hassan El-Sayed</w:t>
      </w:r>
    </w:p>
    <w:p>
      <w:pPr>
        <w:pStyle w:val="BodyText"/>
      </w:pPr>
      <w:r>
        <w:t xml:space="preserve">Title: General Manager &amp; Licensed Pharmacist</w:t>
      </w:r>
    </w:p>
    <w:p>
      <w:pPr>
        <w:pStyle w:val="BodyText"/>
      </w:pPr>
      <w:r>
        <w:t xml:space="preserve">Signature: ___________________________</w:t>
      </w:r>
    </w:p>
    <w:p>
      <w:pPr>
        <w:pStyle w:val="BodyText"/>
      </w:pPr>
      <w:r>
        <w:t xml:space="preserve">Date: 14 June 2025</w:t>
      </w:r>
    </w:p>
    <w:p>
      <w:pPr>
        <w:pStyle w:val="BodyText"/>
      </w:pPr>
      <w:r>
        <w:rPr>
          <w:bCs/>
          <w:b/>
        </w:rPr>
        <w:t xml:space="preserve">Accepted by (Supplier):</w:t>
      </w:r>
    </w:p>
    <w:p>
      <w:pPr>
        <w:pStyle w:val="BodyText"/>
      </w:pPr>
      <w:r>
        <w:t xml:space="preserve">PharmaCairo International Distributors</w:t>
      </w:r>
    </w:p>
    <w:p>
      <w:pPr>
        <w:pStyle w:val="BodyText"/>
      </w:pPr>
      <w:r>
        <w:t xml:space="preserve">Name: Mr. Khaled Mostafa Ibrahim</w:t>
      </w:r>
    </w:p>
    <w:p>
      <w:pPr>
        <w:pStyle w:val="BodyText"/>
      </w:pPr>
      <w:r>
        <w:t xml:space="preserve">Title: Sales Director</w:t>
      </w:r>
    </w:p>
    <w:p>
      <w:pPr>
        <w:pStyle w:val="BodyText"/>
      </w:pPr>
      <w:r>
        <w:t xml:space="preserve">Signature: ___________________________</w:t>
      </w:r>
    </w:p>
    <w:p>
      <w:pPr>
        <w:pStyle w:val="BodyText"/>
      </w:pPr>
      <w:r>
        <w:t xml:space="preserve">Date: _______________</w:t>
      </w:r>
    </w:p>
    <w:p>
      <w:pPr>
        <w:pStyle w:val="BodyText"/>
      </w:pPr>
      <w:r>
        <w:t xml:space="preserve">This Purchase Order document was generated for Nile Chemist Supply Co., Egypt Cairo. Document Ref: NC-EGC-2025-00347.</w:t>
      </w:r>
    </w:p>
    <w:p>
      <w:pPr>
        <w:pStyle w:val="BodyText"/>
      </w:pPr>
      <w:r>
        <w:t xml:space="preserve">For inquiries regarding this Purchase Order, contact the Chemist procurement office at +20 2 3301 4456 or orders@nilechemist-cairo.com.</w:t>
      </w:r>
    </w:p>
    <w:p>
      <w:pPr>
        <w:pStyle w:val="BodyText"/>
      </w:pPr>
      <w:r>
        <w:t xml:space="preserve">© 2025 Nile Chemist Supply Co. — All rights reserved.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Egypt Cairo</dc:title>
  <dc:creator/>
  <dc:language>en</dc:language>
  <cp:keywords/>
  <dcterms:created xsi:type="dcterms:W3CDTF">2026-10-10T04:32:43Z</dcterms:created>
  <dcterms:modified xsi:type="dcterms:W3CDTF">2026-10-10T04:32:43Z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