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rPr>
          <w:bCs/>
          <w:b/>
        </w:rPr>
        <w:t xml:space="preserve">Pharmaceutical &amp; Chemist Supply Procurement</w:t>
      </w:r>
    </w:p>
    <w:p>
      <w:pPr>
        <w:pStyle w:val="BodyText"/>
      </w:pPr>
      <w:r>
        <w:t xml:space="preserve">Issued for the Chemist Operations in France Lyon</w:t>
      </w:r>
    </w:p>
    <w:bookmarkEnd w:id="20"/>
    <w:p>
      <w:pPr>
        <w:pStyle w:val="BodyText"/>
      </w:pPr>
      <w:r>
        <w:rPr>
          <w:bCs/>
          <w:b/>
        </w:rPr>
        <w:t xml:space="preserve">Purchase Order No.:</w:t>
      </w:r>
      <w:r>
        <w:t xml:space="preserve"> </w:t>
      </w:r>
      <w:r>
        <w:t xml:space="preserve">PO-FR-LY-2025-04872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p>
      <w:pPr>
        <w:pStyle w:val="BodyText"/>
      </w:pPr>
      <w:r>
        <w:t xml:space="preserve">PARTY INFORMATION</w:t>
      </w:r>
    </w:p>
    <w:bookmarkStart w:id="21" w:name="purchasing-entity-buyer"/>
    <w:p>
      <w:pPr>
        <w:pStyle w:val="Heading3"/>
      </w:pPr>
      <w:r>
        <w:t xml:space="preserve">Purchasing Entity (Buyer)</w:t>
      </w:r>
    </w:p>
    <w:p>
      <w:pPr>
        <w:pStyle w:val="FirstParagraph"/>
      </w:pPr>
      <w:r>
        <w:rPr>
          <w:bCs/>
          <w:b/>
        </w:rPr>
        <w:t xml:space="preserve">Pharmacie du Rhône Group</w:t>
      </w:r>
      <w:r>
        <w:br/>
      </w:r>
      <w:r>
        <w:t xml:space="preserve">42 Quai de Serbie</w:t>
      </w:r>
      <w:r>
        <w:br/>
      </w:r>
      <w:r>
        <w:t xml:space="preserve">69002 Lyon, France</w:t>
      </w:r>
      <w:r>
        <w:br/>
      </w:r>
      <w:r>
        <w:t xml:space="preserve">SIRET: 842 567 391 00027</w:t>
      </w:r>
      <w:r>
        <w:br/>
      </w:r>
      <w:r>
        <w:t xml:space="preserve">VAT ID: FR 38 842567391</w:t>
      </w:r>
      <w:r>
        <w:br/>
      </w:r>
      <w:r>
        <w:t xml:space="preserve">Contact: M. Laurent Dubois, Procurement Director</w:t>
      </w:r>
      <w:r>
        <w:br/>
      </w:r>
      <w:r>
        <w:t xml:space="preserve">Email: procurement@pharmacierhone.fr</w:t>
      </w:r>
      <w:r>
        <w:br/>
      </w:r>
      <w:r>
        <w:t xml:space="preserve">Tel: +33 4 72 00 15 48</w:t>
      </w:r>
    </w:p>
    <w:bookmarkEnd w:id="21"/>
    <w:bookmarkStart w:id="22" w:name="supplier-chemist-pharmacy-distributor"/>
    <w:p>
      <w:pPr>
        <w:pStyle w:val="Heading3"/>
      </w:pPr>
      <w:r>
        <w:t xml:space="preserve">Supplier (Chemist / Pharmacy Distributor)</w:t>
      </w:r>
    </w:p>
    <w:p>
      <w:pPr>
        <w:pStyle w:val="FirstParagraph"/>
      </w:pPr>
      <w:r>
        <w:rPr>
          <w:bCs/>
          <w:b/>
        </w:rPr>
        <w:t xml:space="preserve">PharmaLyon Distribution S.A.S.</w:t>
      </w:r>
      <w:r>
        <w:br/>
      </w:r>
      <w:r>
        <w:t xml:space="preserve">18 Rue de la Chimie</w:t>
      </w:r>
      <w:r>
        <w:br/>
      </w:r>
      <w:r>
        <w:t xml:space="preserve">69003 Lyon, France</w:t>
      </w:r>
      <w:r>
        <w:br/>
      </w:r>
      <w:r>
        <w:t xml:space="preserve">SIRET: 729 445 812 00014</w:t>
      </w:r>
      <w:r>
        <w:br/>
      </w:r>
      <w:r>
        <w:t xml:space="preserve">VAT ID: FR 12 729445812</w:t>
      </w:r>
      <w:r>
        <w:br/>
      </w:r>
      <w:r>
        <w:t xml:space="preserve">Contact: Mme. Sophie Marchand, Sales Manager</w:t>
      </w:r>
      <w:r>
        <w:br/>
      </w:r>
      <w:r>
        <w:t xml:space="preserve">Email: sales@pharmalyon-dist.fr</w:t>
      </w:r>
      <w:r>
        <w:br/>
      </w:r>
      <w:r>
        <w:t xml:space="preserve">Tel: +33 4 78 62 33 91</w:t>
      </w:r>
    </w:p>
    <w:bookmarkEnd w:id="22"/>
    <w:p>
      <w:pPr>
        <w:pStyle w:val="BodyText"/>
      </w:pPr>
      <w:r>
        <w:t xml:space="preserve">PURCHASE ORDER LINE ITEMS – CHEMIST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Item Description</w:t>
            </w:r>
          </w:p>
        </w:tc>
        <w:tc>
          <w:tcPr/>
          <w:p>
            <w:pPr>
              <w:pStyle w:val="Compact"/>
              <w:jc w:val="left"/>
            </w:pPr>
            <w:r>
              <w:t xml:space="preserve">Category</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Amoxicillin 500mg Capsules (28-count boxes) – Chemist dispensing stock</w:t>
            </w:r>
          </w:p>
        </w:tc>
        <w:tc>
          <w:tcPr/>
          <w:p>
            <w:pPr>
              <w:pStyle w:val="Compact"/>
              <w:jc w:val="left"/>
            </w:pPr>
            <w:r>
              <w:t xml:space="preserve">Pharmaceutical</w:t>
            </w:r>
          </w:p>
        </w:tc>
        <w:tc>
          <w:tcPr/>
          <w:p>
            <w:pPr>
              <w:pStyle w:val="Compact"/>
              <w:jc w:val="left"/>
            </w:pPr>
            <w:r>
              <w:t xml:space="preserve">Box</w:t>
            </w:r>
          </w:p>
        </w:tc>
        <w:tc>
          <w:tcPr/>
          <w:p>
            <w:pPr>
              <w:pStyle w:val="Compact"/>
              <w:jc w:val="left"/>
            </w:pPr>
            <w:r>
              <w:t xml:space="preserve">250</w:t>
            </w:r>
          </w:p>
        </w:tc>
        <w:tc>
          <w:tcPr/>
          <w:p>
            <w:pPr>
              <w:pStyle w:val="Compact"/>
              <w:jc w:val="left"/>
            </w:pPr>
            <w:r>
              <w:t xml:space="preserve">12.40</w:t>
            </w:r>
          </w:p>
        </w:tc>
        <w:tc>
          <w:tcPr/>
          <w:p>
            <w:pPr>
              <w:pStyle w:val="Compact"/>
              <w:jc w:val="left"/>
            </w:pPr>
            <w:r>
              <w:t xml:space="preserve">3,100.00</w:t>
            </w:r>
          </w:p>
        </w:tc>
      </w:tr>
      <w:tr>
        <w:tc>
          <w:tcPr/>
          <w:p>
            <w:pPr>
              <w:pStyle w:val="Compact"/>
              <w:jc w:val="left"/>
            </w:pPr>
            <w:r>
              <w:t xml:space="preserve">02</w:t>
            </w:r>
          </w:p>
        </w:tc>
        <w:tc>
          <w:tcPr/>
          <w:p>
            <w:pPr>
              <w:pStyle w:val="Compact"/>
              <w:jc w:val="left"/>
            </w:pPr>
            <w:r>
              <w:t xml:space="preserve">Ibuprofen 400mg Tablets (20-count blister packs) – Chemist OTC supply</w:t>
            </w:r>
          </w:p>
        </w:tc>
        <w:tc>
          <w:tcPr/>
          <w:p>
            <w:pPr>
              <w:pStyle w:val="Compact"/>
              <w:jc w:val="left"/>
            </w:pPr>
            <w:r>
              <w:t xml:space="preserve">Pharmaceutical</w:t>
            </w:r>
          </w:p>
        </w:tc>
        <w:tc>
          <w:tcPr/>
          <w:p>
            <w:pPr>
              <w:pStyle w:val="Compact"/>
              <w:jc w:val="left"/>
            </w:pPr>
            <w:r>
              <w:t xml:space="preserve">Box</w:t>
            </w:r>
          </w:p>
        </w:tc>
        <w:tc>
          <w:tcPr/>
          <w:p>
            <w:pPr>
              <w:pStyle w:val="Compact"/>
              <w:jc w:val="left"/>
            </w:pPr>
            <w:r>
              <w:t xml:space="preserve">400</w:t>
            </w:r>
          </w:p>
        </w:tc>
        <w:tc>
          <w:tcPr/>
          <w:p>
            <w:pPr>
              <w:pStyle w:val="Compact"/>
              <w:jc w:val="left"/>
            </w:pPr>
            <w:r>
              <w:t xml:space="preserve">4.85</w:t>
            </w:r>
          </w:p>
        </w:tc>
        <w:tc>
          <w:tcPr/>
          <w:p>
            <w:pPr>
              <w:pStyle w:val="Compact"/>
              <w:jc w:val="left"/>
            </w:pPr>
            <w:r>
              <w:t xml:space="preserve">1,940.00</w:t>
            </w:r>
          </w:p>
        </w:tc>
      </w:tr>
      <w:tr>
        <w:tc>
          <w:tcPr/>
          <w:p>
            <w:pPr>
              <w:pStyle w:val="Compact"/>
              <w:jc w:val="left"/>
            </w:pPr>
            <w:r>
              <w:t xml:space="preserve">03</w:t>
            </w:r>
          </w:p>
        </w:tc>
        <w:tc>
          <w:tcPr/>
          <w:p>
            <w:pPr>
              <w:pStyle w:val="Compact"/>
              <w:jc w:val="left"/>
            </w:pPr>
            <w:r>
              <w:t xml:space="preserve">Paracetamol 1g Effervescent Tablets (16-count) – Chemist counter stock</w:t>
            </w:r>
          </w:p>
        </w:tc>
        <w:tc>
          <w:tcPr/>
          <w:p>
            <w:pPr>
              <w:pStyle w:val="Compact"/>
              <w:jc w:val="left"/>
            </w:pPr>
            <w:r>
              <w:t xml:space="preserve">Pharmaceutical</w:t>
            </w:r>
          </w:p>
        </w:tc>
        <w:tc>
          <w:tcPr/>
          <w:p>
            <w:pPr>
              <w:pStyle w:val="Compact"/>
              <w:jc w:val="left"/>
            </w:pPr>
            <w:r>
              <w:t xml:space="preserve">Box</w:t>
            </w:r>
          </w:p>
        </w:tc>
        <w:tc>
          <w:tcPr/>
          <w:p>
            <w:pPr>
              <w:pStyle w:val="Compact"/>
              <w:jc w:val="left"/>
            </w:pPr>
            <w:r>
              <w:t xml:space="preserve">300</w:t>
            </w:r>
          </w:p>
        </w:tc>
        <w:tc>
          <w:tcPr/>
          <w:p>
            <w:pPr>
              <w:pStyle w:val="Compact"/>
              <w:jc w:val="left"/>
            </w:pPr>
            <w:r>
              <w:t xml:space="preserve">3.20</w:t>
            </w:r>
          </w:p>
        </w:tc>
        <w:tc>
          <w:tcPr/>
          <w:p>
            <w:pPr>
              <w:pStyle w:val="Compact"/>
              <w:jc w:val="left"/>
            </w:pPr>
            <w:r>
              <w:t xml:space="preserve">960.00</w:t>
            </w:r>
          </w:p>
        </w:tc>
      </w:tr>
      <w:tr>
        <w:tc>
          <w:tcPr/>
          <w:p>
            <w:pPr>
              <w:pStyle w:val="Compact"/>
              <w:jc w:val="left"/>
            </w:pPr>
            <w:r>
              <w:t xml:space="preserve">04</w:t>
            </w:r>
          </w:p>
        </w:tc>
        <w:tc>
          <w:tcPr/>
          <w:p>
            <w:pPr>
              <w:pStyle w:val="Compact"/>
              <w:jc w:val="left"/>
            </w:pPr>
            <w:r>
              <w:t xml:space="preserve">Digital Thermometer (Medical Grade, CE Certified) – Chemist equipment</w:t>
            </w:r>
          </w:p>
        </w:tc>
        <w:tc>
          <w:tcPr/>
          <w:p>
            <w:pPr>
              <w:pStyle w:val="Compact"/>
              <w:jc w:val="left"/>
            </w:pPr>
            <w:r>
              <w:t xml:space="preserve">Equipment</w:t>
            </w:r>
          </w:p>
        </w:tc>
        <w:tc>
          <w:tcPr/>
          <w:p>
            <w:pPr>
              <w:pStyle w:val="Compact"/>
              <w:jc w:val="left"/>
            </w:pPr>
            <w:r>
              <w:t xml:space="preserve">Unit</w:t>
            </w:r>
          </w:p>
        </w:tc>
        <w:tc>
          <w:tcPr/>
          <w:p>
            <w:pPr>
              <w:pStyle w:val="Compact"/>
              <w:jc w:val="left"/>
            </w:pPr>
            <w:r>
              <w:t xml:space="preserve">25</w:t>
            </w:r>
          </w:p>
        </w:tc>
        <w:tc>
          <w:tcPr/>
          <w:p>
            <w:pPr>
              <w:pStyle w:val="Compact"/>
              <w:jc w:val="left"/>
            </w:pPr>
            <w:r>
              <w:t xml:space="preserve">18.50</w:t>
            </w:r>
          </w:p>
        </w:tc>
        <w:tc>
          <w:tcPr/>
          <w:p>
            <w:pPr>
              <w:pStyle w:val="Compact"/>
              <w:jc w:val="left"/>
            </w:pPr>
            <w:r>
              <w:t xml:space="preserve">462.50</w:t>
            </w:r>
          </w:p>
        </w:tc>
      </w:tr>
      <w:tr>
        <w:tc>
          <w:tcPr/>
          <w:p>
            <w:pPr>
              <w:pStyle w:val="Compact"/>
              <w:jc w:val="left"/>
            </w:pPr>
            <w:r>
              <w:t xml:space="preserve">05</w:t>
            </w:r>
          </w:p>
        </w:tc>
        <w:tc>
          <w:tcPr/>
          <w:p>
            <w:pPr>
              <w:pStyle w:val="Compact"/>
              <w:jc w:val="left"/>
            </w:pPr>
            <w:r>
              <w:t xml:space="preserve">Automatic Blood Pressure Monitor (Upper Arm, CE Marked) – Chemist diagnostic tool</w:t>
            </w:r>
          </w:p>
        </w:tc>
        <w:tc>
          <w:tcPr/>
          <w:p>
            <w:pPr>
              <w:pStyle w:val="Compact"/>
              <w:jc w:val="left"/>
            </w:pPr>
            <w:r>
              <w:t xml:space="preserve">Equipment</w:t>
            </w:r>
          </w:p>
        </w:tc>
        <w:tc>
          <w:tcPr/>
          <w:p>
            <w:pPr>
              <w:pStyle w:val="Compact"/>
              <w:jc w:val="left"/>
            </w:pPr>
            <w:r>
              <w:t xml:space="preserve">Unit</w:t>
            </w:r>
          </w:p>
        </w:tc>
        <w:tc>
          <w:tcPr/>
          <w:p>
            <w:pPr>
              <w:pStyle w:val="Compact"/>
              <w:jc w:val="left"/>
            </w:pPr>
            <w:r>
              <w:t xml:space="preserve">10</w:t>
            </w:r>
          </w:p>
        </w:tc>
        <w:tc>
          <w:tcPr/>
          <w:p>
            <w:pPr>
              <w:pStyle w:val="Compact"/>
              <w:jc w:val="left"/>
            </w:pPr>
            <w:r>
              <w:t xml:space="preserve">89.00</w:t>
            </w:r>
          </w:p>
        </w:tc>
        <w:tc>
          <w:tcPr/>
          <w:p>
            <w:pPr>
              <w:pStyle w:val="Compact"/>
              <w:jc w:val="left"/>
            </w:pPr>
            <w:r>
              <w:t xml:space="preserve">890.00</w:t>
            </w:r>
          </w:p>
        </w:tc>
      </w:tr>
      <w:tr>
        <w:tc>
          <w:tcPr/>
          <w:p>
            <w:pPr>
              <w:pStyle w:val="Compact"/>
              <w:jc w:val="left"/>
            </w:pPr>
            <w:r>
              <w:t xml:space="preserve">06</w:t>
            </w:r>
          </w:p>
        </w:tc>
        <w:tc>
          <w:tcPr/>
          <w:p>
            <w:pPr>
              <w:pStyle w:val="Compact"/>
              <w:jc w:val="left"/>
            </w:pPr>
            <w:r>
              <w:t xml:space="preserve">Pharmacy Compounding Weighing Scale (0.01g precision) – Chemist lab equipment</w:t>
            </w:r>
          </w:p>
        </w:tc>
        <w:tc>
          <w:tcPr/>
          <w:p>
            <w:pPr>
              <w:pStyle w:val="Compact"/>
              <w:jc w:val="left"/>
            </w:pPr>
            <w:r>
              <w:t xml:space="preserve">Equipment</w:t>
            </w:r>
          </w:p>
        </w:tc>
        <w:tc>
          <w:tcPr/>
          <w:p>
            <w:pPr>
              <w:pStyle w:val="Compact"/>
              <w:jc w:val="left"/>
            </w:pPr>
            <w:r>
              <w:t xml:space="preserve">Unit</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07</w:t>
            </w:r>
          </w:p>
        </w:tc>
        <w:tc>
          <w:tcPr/>
          <w:p>
            <w:pPr>
              <w:pStyle w:val="Compact"/>
              <w:jc w:val="left"/>
            </w:pPr>
            <w:r>
              <w:t xml:space="preserve">Sterile Gauze Pads 10x10cm (100-pack) – Chemist wound care supply</w:t>
            </w:r>
          </w:p>
        </w:tc>
        <w:tc>
          <w:tcPr/>
          <w:p>
            <w:pPr>
              <w:pStyle w:val="Compact"/>
              <w:jc w:val="left"/>
            </w:pPr>
            <w:r>
              <w:t xml:space="preserve">Medical Supply</w:t>
            </w:r>
          </w:p>
        </w:tc>
        <w:tc>
          <w:tcPr/>
          <w:p>
            <w:pPr>
              <w:pStyle w:val="Compact"/>
              <w:jc w:val="left"/>
            </w:pPr>
            <w:r>
              <w:t xml:space="preserve">Pack</w:t>
            </w:r>
          </w:p>
        </w:tc>
        <w:tc>
          <w:tcPr/>
          <w:p>
            <w:pPr>
              <w:pStyle w:val="Compact"/>
              <w:jc w:val="left"/>
            </w:pPr>
            <w:r>
              <w:t xml:space="preserve">150</w:t>
            </w:r>
          </w:p>
        </w:tc>
        <w:tc>
          <w:tcPr/>
          <w:p>
            <w:pPr>
              <w:pStyle w:val="Compact"/>
              <w:jc w:val="left"/>
            </w:pPr>
            <w:r>
              <w:t xml:space="preserve">6.75</w:t>
            </w:r>
          </w:p>
        </w:tc>
        <w:tc>
          <w:tcPr/>
          <w:p>
            <w:pPr>
              <w:pStyle w:val="Compact"/>
              <w:jc w:val="left"/>
            </w:pPr>
            <w:r>
              <w:t xml:space="preserve">1,012.50</w:t>
            </w:r>
          </w:p>
        </w:tc>
      </w:tr>
      <w:tr>
        <w:tc>
          <w:tcPr/>
          <w:p>
            <w:pPr>
              <w:pStyle w:val="Compact"/>
              <w:jc w:val="left"/>
            </w:pPr>
            <w:r>
              <w:t xml:space="preserve">08</w:t>
            </w:r>
          </w:p>
        </w:tc>
        <w:tc>
          <w:tcPr/>
          <w:p>
            <w:pPr>
              <w:pStyle w:val="Compact"/>
              <w:jc w:val="left"/>
            </w:pPr>
            <w:r>
              <w:t xml:space="preserve">Nitrile Examination Gloves (Medium, Box of 100) – Chemist PPE</w:t>
            </w:r>
          </w:p>
        </w:tc>
        <w:tc>
          <w:tcPr/>
          <w:p>
            <w:pPr>
              <w:pStyle w:val="Compact"/>
              <w:jc w:val="left"/>
            </w:pPr>
            <w:r>
              <w:t xml:space="preserve">Medical Supply</w:t>
            </w:r>
          </w:p>
        </w:tc>
        <w:tc>
          <w:tcPr/>
          <w:p>
            <w:pPr>
              <w:pStyle w:val="Compact"/>
              <w:jc w:val="left"/>
            </w:pPr>
            <w:r>
              <w:t xml:space="preserve">Box</w:t>
            </w:r>
          </w:p>
        </w:tc>
        <w:tc>
          <w:tcPr/>
          <w:p>
            <w:pPr>
              <w:pStyle w:val="Compact"/>
              <w:jc w:val="left"/>
            </w:pPr>
            <w:r>
              <w:t xml:space="preserve">200</w:t>
            </w:r>
          </w:p>
        </w:tc>
        <w:tc>
          <w:tcPr/>
          <w:p>
            <w:pPr>
              <w:pStyle w:val="Compact"/>
              <w:jc w:val="left"/>
            </w:pPr>
            <w:r>
              <w:t xml:space="preserve">8.90</w:t>
            </w:r>
          </w:p>
        </w:tc>
        <w:tc>
          <w:tcPr/>
          <w:p>
            <w:pPr>
              <w:pStyle w:val="Compact"/>
              <w:jc w:val="left"/>
            </w:pPr>
            <w:r>
              <w:t xml:space="preserve">1,780.00</w:t>
            </w:r>
          </w:p>
        </w:tc>
      </w:tr>
      <w:tr>
        <w:tc>
          <w:tcPr/>
          <w:p>
            <w:pPr>
              <w:pStyle w:val="Compact"/>
              <w:jc w:val="left"/>
            </w:pPr>
            <w:r>
              <w:t xml:space="preserve">09</w:t>
            </w:r>
          </w:p>
        </w:tc>
        <w:tc>
          <w:tcPr/>
          <w:p>
            <w:pPr>
              <w:pStyle w:val="Compact"/>
              <w:jc w:val="left"/>
            </w:pPr>
            <w:r>
              <w:t xml:space="preserve">Pharmacy Refrigeration Unit (200L, 2–8°C, CE Certified) – Chemist cold chain</w:t>
            </w:r>
          </w:p>
        </w:tc>
        <w:tc>
          <w:tcPr/>
          <w:p>
            <w:pPr>
              <w:pStyle w:val="Compact"/>
              <w:jc w:val="left"/>
            </w:pPr>
            <w:r>
              <w:t xml:space="preserve">Equipment</w:t>
            </w:r>
          </w:p>
        </w:tc>
        <w:tc>
          <w:tcPr/>
          <w:p>
            <w:pPr>
              <w:pStyle w:val="Compact"/>
              <w:jc w:val="left"/>
            </w:pPr>
            <w:r>
              <w:t xml:space="preserve">Unit</w:t>
            </w:r>
          </w:p>
        </w:tc>
        <w:tc>
          <w:tcPr/>
          <w:p>
            <w:pPr>
              <w:pStyle w:val="Compact"/>
              <w:jc w:val="left"/>
            </w:pPr>
            <w:r>
              <w:t xml:space="preserve">2</w:t>
            </w:r>
          </w:p>
        </w:tc>
        <w:tc>
          <w:tcPr/>
          <w:p>
            <w:pPr>
              <w:pStyle w:val="Compact"/>
              <w:jc w:val="left"/>
            </w:pPr>
            <w:r>
              <w:t xml:space="preserve">2,450.00</w:t>
            </w:r>
          </w:p>
        </w:tc>
        <w:tc>
          <w:tcPr/>
          <w:p>
            <w:pPr>
              <w:pStyle w:val="Compact"/>
              <w:jc w:val="left"/>
            </w:pPr>
            <w:r>
              <w:t xml:space="preserve">4,900.00</w:t>
            </w:r>
          </w:p>
        </w:tc>
      </w:tr>
      <w:tr>
        <w:tc>
          <w:tcPr/>
          <w:p>
            <w:pPr>
              <w:pStyle w:val="Compact"/>
              <w:jc w:val="left"/>
            </w:pPr>
            <w:r>
              <w:t xml:space="preserve">10</w:t>
            </w:r>
          </w:p>
        </w:tc>
        <w:tc>
          <w:tcPr/>
          <w:p>
            <w:pPr>
              <w:pStyle w:val="Compact"/>
              <w:jc w:val="left"/>
            </w:pPr>
            <w:r>
              <w:t xml:space="preserve">Pharmaceutical Storage Cabinets (Fire-rated, 4-door) – Chemist compliance</w:t>
            </w:r>
          </w:p>
        </w:tc>
        <w:tc>
          <w:tcPr/>
          <w:p>
            <w:pPr>
              <w:pStyle w:val="Compact"/>
              <w:jc w:val="left"/>
            </w:pPr>
            <w:r>
              <w:t xml:space="preserve">Furniture</w:t>
            </w:r>
          </w:p>
        </w:tc>
        <w:tc>
          <w:tcPr/>
          <w:p>
            <w:pPr>
              <w:pStyle w:val="Compact"/>
              <w:jc w:val="left"/>
            </w:pPr>
            <w:r>
              <w:t xml:space="preserve">Unit</w:t>
            </w:r>
          </w:p>
        </w:tc>
        <w:tc>
          <w:tcPr/>
          <w:p>
            <w:pPr>
              <w:pStyle w:val="Compact"/>
              <w:jc w:val="left"/>
            </w:pPr>
            <w:r>
              <w:t xml:space="preserve">3</w:t>
            </w:r>
          </w:p>
        </w:tc>
        <w:tc>
          <w:tcPr/>
          <w:p>
            <w:pPr>
              <w:pStyle w:val="Compact"/>
              <w:jc w:val="left"/>
            </w:pPr>
            <w:r>
              <w:t xml:space="preserve">1,150.00</w:t>
            </w:r>
          </w:p>
        </w:tc>
        <w:tc>
          <w:tcPr/>
          <w:p>
            <w:pPr>
              <w:pStyle w:val="Compact"/>
              <w:jc w:val="left"/>
            </w:pPr>
            <w:r>
              <w:t xml:space="preserve">3,450.00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€ 20,775.00</w:t>
            </w:r>
          </w:p>
        </w:tc>
      </w:tr>
      <w:tr>
        <w:tc>
          <w:tcPr/>
          <w:p>
            <w:pPr>
              <w:pStyle w:val="Compact"/>
              <w:jc w:val="left"/>
            </w:pPr>
            <w:r>
              <w:t xml:space="preserve">VAT (TVA) – 20% (France standard rate)</w:t>
            </w:r>
          </w:p>
        </w:tc>
        <w:tc>
          <w:tcPr/>
          <w:p>
            <w:pPr>
              <w:pStyle w:val="Compact"/>
              <w:jc w:val="right"/>
            </w:pPr>
            <w:r>
              <w:t xml:space="preserve">€ 4,155.00</w:t>
            </w:r>
          </w:p>
        </w:tc>
      </w:tr>
      <w:tr>
        <w:tc>
          <w:tcPr/>
          <w:p>
            <w:pPr>
              <w:pStyle w:val="Compact"/>
              <w:jc w:val="left"/>
            </w:pPr>
            <w:r>
              <w:t xml:space="preserve">Delivery &amp; Installation (Lyon metropolitan area)</w:t>
            </w:r>
          </w:p>
        </w:tc>
        <w:tc>
          <w:tcPr/>
          <w:p>
            <w:pPr>
              <w:pStyle w:val="Compact"/>
              <w:jc w:val="right"/>
            </w:pPr>
            <w:r>
              <w:t xml:space="preserve">€ 485.00</w:t>
            </w:r>
          </w:p>
        </w:tc>
      </w:tr>
      <w:tr>
        <w:tc>
          <w:tcPr/>
          <w:p>
            <w:pPr>
              <w:pStyle w:val="Compact"/>
              <w:jc w:val="left"/>
            </w:pPr>
            <w:r>
              <w:t xml:space="preserve">GRAND TOTAL (EUR)</w:t>
            </w:r>
          </w:p>
        </w:tc>
        <w:tc>
          <w:tcPr/>
          <w:p>
            <w:pPr>
              <w:pStyle w:val="Compact"/>
              <w:jc w:val="right"/>
            </w:pPr>
            <w:r>
              <w:t xml:space="preserve">€ 25,415.00</w:t>
            </w:r>
          </w:p>
        </w:tc>
      </w:tr>
    </w:tbl>
    <w:p>
      <w:pPr>
        <w:pStyle w:val="BodyText"/>
      </w:pPr>
      <w:r>
        <w:t xml:space="preserve">TERMS AND CONDITIONS</w:t>
      </w:r>
    </w:p>
    <w:p>
      <w:pPr>
        <w:numPr>
          <w:ilvl w:val="0"/>
          <w:numId w:val="1001"/>
        </w:numPr>
        <w:pStyle w:val="Compact"/>
      </w:pPr>
      <w:r>
        <w:rPr>
          <w:bCs/>
          <w:b/>
        </w:rPr>
        <w:t xml:space="preserve">Delivery Location:</w:t>
      </w:r>
      <w:r>
        <w:t xml:space="preserve"> </w:t>
      </w:r>
      <w:r>
        <w:t xml:space="preserve">All goods under this Purchase Order shall be delivered to the Chemist premises located at 42 Quai de Serbie, 69002 Lyon, France. Delivery access is available between 08:00 and 17:00, Monday through Friday. The supplier must coordinate with the on-site Chemist manager prior to arrival.</w:t>
      </w:r>
    </w:p>
    <w:p>
      <w:pPr>
        <w:numPr>
          <w:ilvl w:val="0"/>
          <w:numId w:val="1001"/>
        </w:numPr>
        <w:pStyle w:val="Compact"/>
      </w:pPr>
      <w:r>
        <w:rPr>
          <w:bCs/>
          <w:b/>
        </w:rPr>
        <w:t xml:space="preserve">Delivery Window:</w:t>
      </w:r>
      <w:r>
        <w:t xml:space="preserve"> </w:t>
      </w:r>
      <w:r>
        <w:t xml:space="preserve">The supplier, PharmaLyon Distribution S.A.S., is required to deliver all items listed in this Purchase Order no later than 28 June 2025. Partial deliveries are permitted provided all items are received within the stated window. Late delivery beyond 5 business days entitles the buyer to a 2% penalty per day on the outstanding value.</w:t>
      </w:r>
    </w:p>
    <w:p>
      <w:pPr>
        <w:numPr>
          <w:ilvl w:val="0"/>
          <w:numId w:val="1001"/>
        </w:numPr>
        <w:pStyle w:val="Compact"/>
      </w:pPr>
      <w:r>
        <w:rPr>
          <w:bCs/>
          <w:b/>
        </w:rPr>
        <w:t xml:space="preserve">Quality &amp; Compliance:</w:t>
      </w:r>
      <w:r>
        <w:t xml:space="preserve"> </w:t>
      </w:r>
      <w:r>
        <w:t xml:space="preserve">All pharmaceutical products must comply with the French Public Health Code (Code de la Santé Publique) and the regulations of the Agence Nationale de Sécurité du Médicament et des Produits de Santé (ANSM). All equipment must bear the CE marking and conform to applicable EU directives. The Chemist in France Lyon will conduct incoming quality inspection within 48 hours of receipt.</w:t>
      </w:r>
    </w:p>
    <w:p>
      <w:pPr>
        <w:numPr>
          <w:ilvl w:val="0"/>
          <w:numId w:val="1001"/>
        </w:numPr>
        <w:pStyle w:val="Compact"/>
      </w:pPr>
      <w:r>
        <w:rPr>
          <w:bCs/>
          <w:b/>
        </w:rPr>
        <w:t xml:space="preserve">Payment Terms:</w:t>
      </w:r>
      <w:r>
        <w:t xml:space="preserve"> </w:t>
      </w:r>
      <w:r>
        <w:t xml:space="preserve">Payment shall be made via SEPA bank transfer within 30 calendar days of the date of the supplier's invoice, provided all goods have been received and accepted. The buyer's bank is Crédit Agricole du Rhône, Lyon. IBAN: FR76 1470 8000 0012 3456 7890 123. BIC: CAAF FRPP.</w:t>
      </w:r>
    </w:p>
    <w:p>
      <w:pPr>
        <w:numPr>
          <w:ilvl w:val="0"/>
          <w:numId w:val="1001"/>
        </w:numPr>
        <w:pStyle w:val="Compact"/>
      </w:pPr>
      <w:r>
        <w:rPr>
          <w:bCs/>
          <w:b/>
        </w:rPr>
        <w:t xml:space="preserve">Warranty:</w:t>
      </w:r>
      <w:r>
        <w:t xml:space="preserve"> </w:t>
      </w:r>
      <w:r>
        <w:t xml:space="preserve">All equipment items carry a minimum 24-month manufacturer's warranty. Pharmaceutical products must have a minimum remaining shelf life of 18 months at the time of delivery. The Chemist reserves the right to reject any product that does not meet these criteria.</w:t>
      </w:r>
    </w:p>
    <w:p>
      <w:pPr>
        <w:numPr>
          <w:ilvl w:val="0"/>
          <w:numId w:val="1001"/>
        </w:numPr>
        <w:pStyle w:val="Compact"/>
      </w:pPr>
      <w:r>
        <w:rPr>
          <w:bCs/>
          <w:b/>
        </w:rPr>
        <w:t xml:space="preserve">Regulatory Compliance (France Lyon):</w:t>
      </w:r>
      <w:r>
        <w:t xml:space="preserve"> </w:t>
      </w:r>
      <w:r>
        <w:t xml:space="preserve">The supplier acknowledges that the Chemist operates under the jurisdiction of the Ordre des Pharmaciens du Rhône (Lyon) and must provide all necessary documentation, including batch numbers, certificates of analysis, and ANSM registration references, for every pharmaceutical item delivered under this Purchase Order.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the France Lyon region. Affected parties must notify the other within 5 business days.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disputes shall be submitted to the competent commercial court of Lyon (Tribunal de Commerce de Lyon).</w:t>
      </w:r>
    </w:p>
    <w:p>
      <w:pPr>
        <w:numPr>
          <w:ilvl w:val="0"/>
          <w:numId w:val="1001"/>
        </w:numPr>
        <w:pStyle w:val="Compact"/>
      </w:pPr>
      <w:r>
        <w:rPr>
          <w:bCs/>
          <w:b/>
        </w:rPr>
        <w:t xml:space="preserve">Confidentiality:</w:t>
      </w:r>
      <w:r>
        <w:t xml:space="preserve"> </w:t>
      </w:r>
      <w:r>
        <w:t xml:space="preserve">Both parties agree to maintain the confidentiality of pricing, quantities, and business terms contained in this Purchase Order. This obligation survives for a period of 3 years following the completion of the transaction.</w:t>
      </w:r>
    </w:p>
    <w:p>
      <w:pPr>
        <w:pStyle w:val="FirstParagraph"/>
      </w:pPr>
      <w:r>
        <w:rPr>
          <w:bCs/>
          <w:b/>
        </w:rPr>
        <w:t xml:space="preserve">NOTE:</w:t>
      </w:r>
      <w:r>
        <w:t xml:space="preserve"> </w:t>
      </w:r>
      <w:r>
        <w:t xml:space="preserve">This Purchase Order is issued in accordance with the internal procurement policy of Pharmacie du Rhône Group. All Chemist-related purchases exceeding €10,000 in France Lyon require dual authorization as specified in Section 7.2 of the corporate procurement manual. This document constitutes a binding commitment upon signature by both parties.</w:t>
      </w:r>
    </w:p>
    <w:p>
      <w:pPr>
        <w:pStyle w:val="BodyText"/>
      </w:pPr>
      <w:r>
        <w:t xml:space="preserve">AUTHORIZATION &amp; SIGNATURES</w:t>
      </w:r>
    </w:p>
    <w:p>
      <w:pPr>
        <w:pStyle w:val="BodyText"/>
      </w:pPr>
      <w:r>
        <w:rPr>
          <w:bCs/>
          <w:b/>
        </w:rPr>
        <w:t xml:space="preserve">For the Purchasing Entity (Buyer)</w:t>
      </w:r>
    </w:p>
    <w:p>
      <w:pPr>
        <w:pStyle w:val="BodyText"/>
      </w:pPr>
      <w:r>
        <w:t xml:space="preserve">Name: M. Laurent Dubois</w:t>
      </w:r>
      <w:r>
        <w:br/>
      </w:r>
      <w:r>
        <w:t xml:space="preserve">Title: Procurement Director</w:t>
      </w:r>
      <w:r>
        <w:br/>
      </w:r>
      <w:r>
        <w:t xml:space="preserve">Pharmacie du Rhône Group, Lyon</w:t>
      </w:r>
      <w:r>
        <w:br/>
      </w:r>
      <w:r>
        <w:t xml:space="preserve">Signature: _________________________</w:t>
      </w:r>
      <w:r>
        <w:br/>
      </w:r>
      <w:r>
        <w:t xml:space="preserve">Date: _________________________</w:t>
      </w:r>
    </w:p>
    <w:p>
      <w:pPr>
        <w:pStyle w:val="BodyText"/>
      </w:pPr>
      <w:r>
        <w:rPr>
          <w:bCs/>
          <w:b/>
        </w:rPr>
        <w:t xml:space="preserve">For the Supplier (Chemist Distributor)</w:t>
      </w:r>
    </w:p>
    <w:p>
      <w:pPr>
        <w:pStyle w:val="BodyText"/>
      </w:pPr>
      <w:r>
        <w:t xml:space="preserve">Name: Mme. Sophie Marchand</w:t>
      </w:r>
      <w:r>
        <w:br/>
      </w:r>
      <w:r>
        <w:t xml:space="preserve">Title: Sales Manager</w:t>
      </w:r>
      <w:r>
        <w:br/>
      </w:r>
      <w:r>
        <w:t xml:space="preserve">PharmaLyon Distribution S.A.S., Lyon</w:t>
      </w:r>
      <w:r>
        <w:br/>
      </w:r>
      <w:r>
        <w:t xml:space="preserve">Signature: _________________________</w:t>
      </w:r>
      <w:r>
        <w:br/>
      </w:r>
      <w:r>
        <w:t xml:space="preserve">Date: _________________________</w:t>
      </w:r>
    </w:p>
    <w:p>
      <w:pPr>
        <w:pStyle w:val="BodyText"/>
      </w:pPr>
      <w:r>
        <w:t xml:space="preserve">Purchase Order PO-FR-LY-2025-04872 | Chemist Supply Procurement | France Lyon | Page 1 of 1</w:t>
      </w:r>
    </w:p>
    <w:p>
      <w:pPr>
        <w:pStyle w:val="BodyText"/>
      </w:pPr>
      <w:r>
        <w:t xml:space="preserve">This document is the property of Pharmacie du Rhône Group. Unauthorized reproduction or distribution is prohibited under French intellectual property law (Code de la Propriété Intellectuelle).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France Lyon</dc:title>
  <dc:creator/>
  <dc:language>en</dc:language>
  <cp:keywords/>
  <dcterms:created xsi:type="dcterms:W3CDTF">2026-10-10T01:53:47Z</dcterms:created>
  <dcterms:modified xsi:type="dcterms:W3CDTF">2026-10-10T01:53:47Z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