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Berlin,</w:t>
      </w:r>
      <w:r>
        <w:t xml:space="preserve"> </w:t>
      </w:r>
      <w:r>
        <w:t xml:space="preserve">Germany</w:t>
      </w:r>
    </w:p>
    <w:bookmarkStart w:id="20" w:name="purchase-order"/>
    <w:p>
      <w:pPr>
        <w:pStyle w:val="Heading1"/>
      </w:pPr>
      <w:r>
        <w:t xml:space="preserve">PURCHASE ORDER</w:t>
      </w:r>
    </w:p>
    <w:p>
      <w:pPr>
        <w:pStyle w:val="FirstParagraph"/>
      </w:pPr>
      <w:r>
        <w:t xml:space="preserve">Official Procurement Document – Chemist &amp; Pharmaceutical Supply – Germany Berlin</w:t>
      </w:r>
    </w:p>
    <w:bookmarkEnd w:id="20"/>
    <w:p>
      <w:pPr>
        <w:pStyle w:val="BodyText"/>
      </w:pPr>
      <w:r>
        <w:rPr>
          <w:bCs/>
          <w:b/>
        </w:rPr>
        <w:t xml:space="preserve">Purchase Order No.:</w:t>
      </w:r>
      <w:r>
        <w:t xml:space="preserve"> </w:t>
      </w:r>
      <w:r>
        <w:t xml:space="preserve">PO-BER-2025-04872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Currency:</w:t>
      </w:r>
      <w:r>
        <w:t xml:space="preserve"> </w:t>
      </w:r>
      <w:r>
        <w:t xml:space="preserve">EUR (€)</w:t>
      </w:r>
    </w:p>
    <w:p>
      <w:pPr>
        <w:pStyle w:val="BodyText"/>
      </w:pPr>
      <w:r>
        <w:t xml:space="preserve">Parties Involved</w:t>
      </w:r>
    </w:p>
    <w:bookmarkStart w:id="21" w:name="buyer-chemist-pharmacy"/>
    <w:p>
      <w:pPr>
        <w:pStyle w:val="Heading3"/>
      </w:pPr>
      <w:r>
        <w:t xml:space="preserve">Buyer (Chemist / Pharmacy)</w:t>
      </w:r>
    </w:p>
    <w:p>
      <w:pPr>
        <w:pStyle w:val="FirstParagraph"/>
      </w:pPr>
      <w:r>
        <w:rPr>
          <w:bCs/>
          <w:b/>
        </w:rPr>
        <w:t xml:space="preserve">Apotheke am Brandenburger Tor GmbH</w:t>
      </w:r>
    </w:p>
    <w:p>
      <w:pPr>
        <w:pStyle w:val="BodyText"/>
      </w:pPr>
      <w:r>
        <w:t xml:space="preserve">Chemist &amp; Licensed Pharmacy</w:t>
      </w:r>
    </w:p>
    <w:p>
      <w:pPr>
        <w:pStyle w:val="BodyText"/>
      </w:pPr>
      <w:r>
        <w:t xml:space="preserve">Unter den Linden 42</w:t>
      </w:r>
    </w:p>
    <w:p>
      <w:pPr>
        <w:pStyle w:val="BodyText"/>
      </w:pPr>
      <w:r>
        <w:t xml:space="preserve">10117 Berlin, Germany</w:t>
      </w:r>
    </w:p>
    <w:p>
      <w:pPr>
        <w:pStyle w:val="BodyText"/>
      </w:pPr>
      <w:r>
        <w:t xml:space="preserve">APhA License No.: B-2019-00482</w:t>
      </w:r>
    </w:p>
    <w:p>
      <w:pPr>
        <w:pStyle w:val="BodyText"/>
      </w:pPr>
      <w:r>
        <w:t xml:space="preserve">USt-IdNr.: DE312456789</w:t>
      </w:r>
    </w:p>
    <w:p>
      <w:pPr>
        <w:pStyle w:val="BodyText"/>
      </w:pPr>
      <w:r>
        <w:t xml:space="preserve">Contact: Dr. Katharina Müller, PharmD</w:t>
      </w:r>
    </w:p>
    <w:p>
      <w:pPr>
        <w:pStyle w:val="BodyText"/>
      </w:pPr>
      <w:r>
        <w:t xml:space="preserve">Email: procurement@apotheke-brandenburger.de</w:t>
      </w:r>
    </w:p>
    <w:p>
      <w:pPr>
        <w:pStyle w:val="BodyText"/>
      </w:pPr>
      <w:r>
        <w:t xml:space="preserve">Phone: +49 30 555 0182</w:t>
      </w:r>
    </w:p>
    <w:bookmarkEnd w:id="21"/>
    <w:bookmarkStart w:id="22" w:name="supplier-pharmaceutical-distributor"/>
    <w:p>
      <w:pPr>
        <w:pStyle w:val="Heading3"/>
      </w:pPr>
      <w:r>
        <w:t xml:space="preserve">Supplier (Pharmaceutical Distributor)</w:t>
      </w:r>
    </w:p>
    <w:p>
      <w:pPr>
        <w:pStyle w:val="FirstParagraph"/>
      </w:pPr>
      <w:r>
        <w:rPr>
          <w:bCs/>
          <w:b/>
        </w:rPr>
        <w:t xml:space="preserve">PharmaLogistik Berlin GmbH</w:t>
      </w:r>
    </w:p>
    <w:p>
      <w:pPr>
        <w:pStyle w:val="BodyText"/>
      </w:pPr>
      <w:r>
        <w:t xml:space="preserve">Wholesale Chemist &amp; Pharmaceutical Supplier</w:t>
      </w:r>
    </w:p>
    <w:p>
      <w:pPr>
        <w:pStyle w:val="BodyText"/>
      </w:pPr>
      <w:r>
        <w:t xml:space="preserve">Industriestraße 17</w:t>
      </w:r>
    </w:p>
    <w:p>
      <w:pPr>
        <w:pStyle w:val="BodyText"/>
      </w:pPr>
      <w:r>
        <w:t xml:space="preserve">13509 Berlin, Germany</w:t>
      </w:r>
    </w:p>
    <w:p>
      <w:pPr>
        <w:pStyle w:val="BodyText"/>
      </w:pPr>
      <w:r>
        <w:t xml:space="preserve">Wholesale License No.: WHL-B-2015-0091</w:t>
      </w:r>
    </w:p>
    <w:p>
      <w:pPr>
        <w:pStyle w:val="BodyText"/>
      </w:pPr>
      <w:r>
        <w:t xml:space="preserve">USt-IdNr.: DE298765431</w:t>
      </w:r>
    </w:p>
    <w:p>
      <w:pPr>
        <w:pStyle w:val="BodyText"/>
      </w:pPr>
      <w:r>
        <w:t xml:space="preserve">Contact: Stefan Weber, Sales Director</w:t>
      </w:r>
    </w:p>
    <w:p>
      <w:pPr>
        <w:pStyle w:val="BodyText"/>
      </w:pPr>
      <w:r>
        <w:t xml:space="preserve">Email: sales@pharmalogistik-berlin.de</w:t>
      </w:r>
    </w:p>
    <w:p>
      <w:pPr>
        <w:pStyle w:val="BodyText"/>
      </w:pPr>
      <w:r>
        <w:t xml:space="preserve">Phone: +49 30 777 4456</w:t>
      </w:r>
    </w:p>
    <w:bookmarkEnd w:id="22"/>
    <w:p>
      <w:pPr>
        <w:pStyle w:val="BodyText"/>
      </w:pPr>
      <w:r>
        <w:t xml:space="preserve">Purchase Order Line Items</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PZN / Batch</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Amoxicillin 500 mg Capsules – 28 ct. (Prescription Chemist Stock)</w:t>
            </w:r>
          </w:p>
        </w:tc>
        <w:tc>
          <w:tcPr/>
          <w:p>
            <w:pPr>
              <w:pStyle w:val="Compact"/>
              <w:jc w:val="left"/>
            </w:pPr>
            <w:r>
              <w:t xml:space="preserve">PZN 03012345</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12.40</w:t>
            </w:r>
          </w:p>
        </w:tc>
        <w:tc>
          <w:tcPr/>
          <w:p>
            <w:pPr>
              <w:pStyle w:val="Compact"/>
              <w:jc w:val="left"/>
            </w:pPr>
            <w:r>
              <w:t xml:space="preserve">2,480.00</w:t>
            </w:r>
          </w:p>
        </w:tc>
        <w:tc>
          <w:tcPr/>
          <w:p>
            <w:pPr>
              <w:pStyle w:val="Compact"/>
              <w:jc w:val="left"/>
            </w:pPr>
            <w:r>
              <w:t xml:space="preserve">14 Jun 2025</w:t>
            </w:r>
          </w:p>
        </w:tc>
      </w:tr>
      <w:tr>
        <w:tc>
          <w:tcPr/>
          <w:p>
            <w:pPr>
              <w:pStyle w:val="Compact"/>
              <w:jc w:val="left"/>
            </w:pPr>
            <w:r>
              <w:t xml:space="preserve">02</w:t>
            </w:r>
          </w:p>
        </w:tc>
        <w:tc>
          <w:tcPr/>
          <w:p>
            <w:pPr>
              <w:pStyle w:val="Compact"/>
              <w:jc w:val="left"/>
            </w:pPr>
            <w:r>
              <w:t xml:space="preserve">Ibuprofen 400 mg Tablets – 200 ct. (OTC Chemist Supply)</w:t>
            </w:r>
          </w:p>
        </w:tc>
        <w:tc>
          <w:tcPr/>
          <w:p>
            <w:pPr>
              <w:pStyle w:val="Compact"/>
              <w:jc w:val="left"/>
            </w:pPr>
            <w:r>
              <w:t xml:space="preserve">PZN 03098765</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8.75</w:t>
            </w:r>
          </w:p>
        </w:tc>
        <w:tc>
          <w:tcPr/>
          <w:p>
            <w:pPr>
              <w:pStyle w:val="Compact"/>
              <w:jc w:val="left"/>
            </w:pPr>
            <w:r>
              <w:t xml:space="preserve">4,375.00</w:t>
            </w:r>
          </w:p>
        </w:tc>
        <w:tc>
          <w:tcPr/>
          <w:p>
            <w:pPr>
              <w:pStyle w:val="Compact"/>
              <w:jc w:val="left"/>
            </w:pPr>
            <w:r>
              <w:t xml:space="preserve">14 Jun 2025</w:t>
            </w:r>
          </w:p>
        </w:tc>
      </w:tr>
      <w:tr>
        <w:tc>
          <w:tcPr/>
          <w:p>
            <w:pPr>
              <w:pStyle w:val="Compact"/>
              <w:jc w:val="left"/>
            </w:pPr>
            <w:r>
              <w:t xml:space="preserve">03</w:t>
            </w:r>
          </w:p>
        </w:tc>
        <w:tc>
          <w:tcPr/>
          <w:p>
            <w:pPr>
              <w:pStyle w:val="Compact"/>
              <w:jc w:val="left"/>
            </w:pPr>
            <w:r>
              <w:t xml:space="preserve">Insulin Glargine 100 IE/ml Penfill – 5 pcs (Cold Chain)</w:t>
            </w:r>
          </w:p>
        </w:tc>
        <w:tc>
          <w:tcPr/>
          <w:p>
            <w:pPr>
              <w:pStyle w:val="Compact"/>
              <w:jc w:val="left"/>
            </w:pPr>
            <w:r>
              <w:t xml:space="preserve">PZN 04156789</w:t>
            </w:r>
          </w:p>
        </w:tc>
        <w:tc>
          <w:tcPr/>
          <w:p>
            <w:pPr>
              <w:pStyle w:val="Compact"/>
              <w:jc w:val="left"/>
            </w:pPr>
            <w:r>
              <w:t xml:space="preserve">80</w:t>
            </w:r>
          </w:p>
        </w:tc>
        <w:tc>
          <w:tcPr/>
          <w:p>
            <w:pPr>
              <w:pStyle w:val="Compact"/>
              <w:jc w:val="left"/>
            </w:pPr>
            <w:r>
              <w:t xml:space="preserve">Cartons</w:t>
            </w:r>
          </w:p>
        </w:tc>
        <w:tc>
          <w:tcPr/>
          <w:p>
            <w:pPr>
              <w:pStyle w:val="Compact"/>
              <w:jc w:val="left"/>
            </w:pPr>
            <w:r>
              <w:t xml:space="preserve">45.20</w:t>
            </w:r>
          </w:p>
        </w:tc>
        <w:tc>
          <w:tcPr/>
          <w:p>
            <w:pPr>
              <w:pStyle w:val="Compact"/>
              <w:jc w:val="left"/>
            </w:pPr>
            <w:r>
              <w:t xml:space="preserve">3,616.00</w:t>
            </w:r>
          </w:p>
        </w:tc>
        <w:tc>
          <w:tcPr/>
          <w:p>
            <w:pPr>
              <w:pStyle w:val="Compact"/>
              <w:jc w:val="left"/>
            </w:pPr>
            <w:r>
              <w:t xml:space="preserve">16 Jun 2025</w:t>
            </w:r>
          </w:p>
        </w:tc>
      </w:tr>
      <w:tr>
        <w:tc>
          <w:tcPr/>
          <w:p>
            <w:pPr>
              <w:pStyle w:val="Compact"/>
              <w:jc w:val="left"/>
            </w:pPr>
            <w:r>
              <w:t xml:space="preserve">04</w:t>
            </w:r>
          </w:p>
        </w:tc>
        <w:tc>
          <w:tcPr/>
          <w:p>
            <w:pPr>
              <w:pStyle w:val="Compact"/>
              <w:jc w:val="left"/>
            </w:pPr>
            <w:r>
              <w:t xml:space="preserve">Salbutamol Inhaler 100 µg – 200 doses (Chemist Respiratory)</w:t>
            </w:r>
          </w:p>
        </w:tc>
        <w:tc>
          <w:tcPr/>
          <w:p>
            <w:pPr>
              <w:pStyle w:val="Compact"/>
              <w:jc w:val="left"/>
            </w:pPr>
            <w:r>
              <w:t xml:space="preserve">PZN 04234567</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14.90</w:t>
            </w:r>
          </w:p>
        </w:tc>
        <w:tc>
          <w:tcPr/>
          <w:p>
            <w:pPr>
              <w:pStyle w:val="Compact"/>
              <w:jc w:val="left"/>
            </w:pPr>
            <w:r>
              <w:t xml:space="preserve">2,235.00</w:t>
            </w:r>
          </w:p>
        </w:tc>
        <w:tc>
          <w:tcPr/>
          <w:p>
            <w:pPr>
              <w:pStyle w:val="Compact"/>
              <w:jc w:val="left"/>
            </w:pPr>
            <w:r>
              <w:t xml:space="preserve">16 Jun 2025</w:t>
            </w:r>
          </w:p>
        </w:tc>
      </w:tr>
      <w:tr>
        <w:tc>
          <w:tcPr/>
          <w:p>
            <w:pPr>
              <w:pStyle w:val="Compact"/>
              <w:jc w:val="left"/>
            </w:pPr>
            <w:r>
              <w:t xml:space="preserve">05</w:t>
            </w:r>
          </w:p>
        </w:tc>
        <w:tc>
          <w:tcPr/>
          <w:p>
            <w:pPr>
              <w:pStyle w:val="Compact"/>
              <w:jc w:val="left"/>
            </w:pPr>
            <w:r>
              <w:t xml:space="preserve">Paracetamol 500 mg Effervescent Tablets – 24 ct.</w:t>
            </w:r>
          </w:p>
        </w:tc>
        <w:tc>
          <w:tcPr/>
          <w:p>
            <w:pPr>
              <w:pStyle w:val="Compact"/>
              <w:jc w:val="left"/>
            </w:pPr>
            <w:r>
              <w:t xml:space="preserve">PZN 04312345</w:t>
            </w:r>
          </w:p>
        </w:tc>
        <w:tc>
          <w:tcPr/>
          <w:p>
            <w:pPr>
              <w:pStyle w:val="Compact"/>
              <w:jc w:val="left"/>
            </w:pPr>
            <w:r>
              <w:t xml:space="preserve">400</w:t>
            </w:r>
          </w:p>
        </w:tc>
        <w:tc>
          <w:tcPr/>
          <w:p>
            <w:pPr>
              <w:pStyle w:val="Compact"/>
              <w:jc w:val="left"/>
            </w:pPr>
            <w:r>
              <w:t xml:space="preserve">Boxes</w:t>
            </w:r>
          </w:p>
        </w:tc>
        <w:tc>
          <w:tcPr/>
          <w:p>
            <w:pPr>
              <w:pStyle w:val="Compact"/>
              <w:jc w:val="left"/>
            </w:pPr>
            <w:r>
              <w:t xml:space="preserve">5.60</w:t>
            </w:r>
          </w:p>
        </w:tc>
        <w:tc>
          <w:tcPr/>
          <w:p>
            <w:pPr>
              <w:pStyle w:val="Compact"/>
              <w:jc w:val="left"/>
            </w:pPr>
            <w:r>
              <w:t xml:space="preserve">2,240.00</w:t>
            </w:r>
          </w:p>
        </w:tc>
        <w:tc>
          <w:tcPr/>
          <w:p>
            <w:pPr>
              <w:pStyle w:val="Compact"/>
              <w:jc w:val="left"/>
            </w:pPr>
            <w:r>
              <w:t xml:space="preserve">18 Jun 2025</w:t>
            </w:r>
          </w:p>
        </w:tc>
      </w:tr>
      <w:tr>
        <w:tc>
          <w:tcPr/>
          <w:p>
            <w:pPr>
              <w:pStyle w:val="Compact"/>
              <w:jc w:val="left"/>
            </w:pPr>
            <w:r>
              <w:t xml:space="preserve">06</w:t>
            </w:r>
          </w:p>
        </w:tc>
        <w:tc>
          <w:tcPr/>
          <w:p>
            <w:pPr>
              <w:pStyle w:val="Compact"/>
              <w:jc w:val="left"/>
            </w:pPr>
            <w:r>
              <w:t xml:space="preserve">Metformin 850 mg Tablets – 100 ct. (Diabetic Care)</w:t>
            </w:r>
          </w:p>
        </w:tc>
        <w:tc>
          <w:tcPr/>
          <w:p>
            <w:pPr>
              <w:pStyle w:val="Compact"/>
              <w:jc w:val="left"/>
            </w:pPr>
            <w:r>
              <w:t xml:space="preserve">PZN 04456789</w:t>
            </w:r>
          </w:p>
        </w:tc>
        <w:tc>
          <w:tcPr/>
          <w:p>
            <w:pPr>
              <w:pStyle w:val="Compact"/>
              <w:jc w:val="left"/>
            </w:pPr>
            <w:r>
              <w:t xml:space="preserve">300</w:t>
            </w:r>
          </w:p>
        </w:tc>
        <w:tc>
          <w:tcPr/>
          <w:p>
            <w:pPr>
              <w:pStyle w:val="Compact"/>
              <w:jc w:val="left"/>
            </w:pPr>
            <w:r>
              <w:t xml:space="preserve">Boxes</w:t>
            </w:r>
          </w:p>
        </w:tc>
        <w:tc>
          <w:tcPr/>
          <w:p>
            <w:pPr>
              <w:pStyle w:val="Compact"/>
              <w:jc w:val="left"/>
            </w:pPr>
            <w:r>
              <w:t xml:space="preserve">11.30</w:t>
            </w:r>
          </w:p>
        </w:tc>
        <w:tc>
          <w:tcPr/>
          <w:p>
            <w:pPr>
              <w:pStyle w:val="Compact"/>
              <w:jc w:val="left"/>
            </w:pPr>
            <w:r>
              <w:t xml:space="preserve">3,390.00</w:t>
            </w:r>
          </w:p>
        </w:tc>
        <w:tc>
          <w:tcPr/>
          <w:p>
            <w:pPr>
              <w:pStyle w:val="Compact"/>
              <w:jc w:val="left"/>
            </w:pPr>
            <w:r>
              <w:t xml:space="preserve">18 Jun 2025</w:t>
            </w:r>
          </w:p>
        </w:tc>
      </w:tr>
      <w:tr>
        <w:tc>
          <w:tcPr/>
          <w:p>
            <w:pPr>
              <w:pStyle w:val="Compact"/>
              <w:jc w:val="left"/>
            </w:pPr>
            <w:r>
              <w:t xml:space="preserve">07</w:t>
            </w:r>
          </w:p>
        </w:tc>
        <w:tc>
          <w:tcPr/>
          <w:p>
            <w:pPr>
              <w:pStyle w:val="Compact"/>
              <w:jc w:val="left"/>
            </w:pPr>
            <w:r>
              <w:t xml:space="preserve">Hydrocortisone Cream 1% – 30 g Tube (Dermatology)</w:t>
            </w:r>
          </w:p>
        </w:tc>
        <w:tc>
          <w:tcPr/>
          <w:p>
            <w:pPr>
              <w:pStyle w:val="Compact"/>
              <w:jc w:val="left"/>
            </w:pPr>
            <w:r>
              <w:t xml:space="preserve">PZN 04598765</w:t>
            </w:r>
          </w:p>
        </w:tc>
        <w:tc>
          <w:tcPr/>
          <w:p>
            <w:pPr>
              <w:pStyle w:val="Compact"/>
              <w:jc w:val="left"/>
            </w:pPr>
            <w:r>
              <w:t xml:space="preserve">250</w:t>
            </w:r>
          </w:p>
        </w:tc>
        <w:tc>
          <w:tcPr/>
          <w:p>
            <w:pPr>
              <w:pStyle w:val="Compact"/>
              <w:jc w:val="left"/>
            </w:pPr>
            <w:r>
              <w:t xml:space="preserve">Tubes</w:t>
            </w:r>
          </w:p>
        </w:tc>
        <w:tc>
          <w:tcPr/>
          <w:p>
            <w:pPr>
              <w:pStyle w:val="Compact"/>
              <w:jc w:val="left"/>
            </w:pPr>
            <w:r>
              <w:t xml:space="preserve">6.80</w:t>
            </w:r>
          </w:p>
        </w:tc>
        <w:tc>
          <w:tcPr/>
          <w:p>
            <w:pPr>
              <w:pStyle w:val="Compact"/>
              <w:jc w:val="left"/>
            </w:pPr>
            <w:r>
              <w:t xml:space="preserve">1,700.00</w:t>
            </w:r>
          </w:p>
        </w:tc>
        <w:tc>
          <w:tcPr/>
          <w:p>
            <w:pPr>
              <w:pStyle w:val="Compact"/>
              <w:jc w:val="left"/>
            </w:pPr>
            <w:r>
              <w:t xml:space="preserve">20 Jun 2025</w:t>
            </w:r>
          </w:p>
        </w:tc>
      </w:tr>
      <w:tr>
        <w:tc>
          <w:tcPr/>
          <w:p>
            <w:pPr>
              <w:pStyle w:val="Compact"/>
              <w:jc w:val="left"/>
            </w:pPr>
            <w:r>
              <w:t xml:space="preserve">08</w:t>
            </w:r>
          </w:p>
        </w:tc>
        <w:tc>
          <w:tcPr/>
          <w:p>
            <w:pPr>
              <w:pStyle w:val="Compact"/>
              <w:jc w:val="left"/>
            </w:pPr>
            <w:r>
              <w:t xml:space="preserve">Pharmacy Compounding Equipment – Mortar &amp; Pestle Set (Chemist Tools)</w:t>
            </w:r>
          </w:p>
        </w:tc>
        <w:tc>
          <w:tcPr/>
          <w:p>
            <w:pPr>
              <w:pStyle w:val="Compact"/>
              <w:jc w:val="left"/>
            </w:pPr>
            <w:r>
              <w:t xml:space="preserve">SKU-CHM-2025-088</w:t>
            </w:r>
          </w:p>
        </w:tc>
        <w:tc>
          <w:tcPr/>
          <w:p>
            <w:pPr>
              <w:pStyle w:val="Compact"/>
              <w:jc w:val="left"/>
            </w:pPr>
            <w:r>
              <w:t xml:space="preserve">10</w:t>
            </w:r>
          </w:p>
        </w:tc>
        <w:tc>
          <w:tcPr/>
          <w:p>
            <w:pPr>
              <w:pStyle w:val="Compact"/>
              <w:jc w:val="left"/>
            </w:pPr>
            <w:r>
              <w:t xml:space="preserve">Sets</w:t>
            </w:r>
          </w:p>
        </w:tc>
        <w:tc>
          <w:tcPr/>
          <w:p>
            <w:pPr>
              <w:pStyle w:val="Compact"/>
              <w:jc w:val="left"/>
            </w:pPr>
            <w:r>
              <w:t xml:space="preserve">89.00</w:t>
            </w:r>
          </w:p>
        </w:tc>
        <w:tc>
          <w:tcPr/>
          <w:p>
            <w:pPr>
              <w:pStyle w:val="Compact"/>
              <w:jc w:val="left"/>
            </w:pPr>
            <w:r>
              <w:t xml:space="preserve">890.00</w:t>
            </w:r>
          </w:p>
        </w:tc>
        <w:tc>
          <w:tcPr/>
          <w:p>
            <w:pPr>
              <w:pStyle w:val="Compact"/>
              <w:jc w:val="left"/>
            </w:pPr>
            <w:r>
              <w:t xml:space="preserve">22 Jun 2025</w:t>
            </w:r>
          </w:p>
        </w:tc>
      </w:tr>
      <w:tr>
        <w:tc>
          <w:tcPr/>
          <w:p>
            <w:pPr>
              <w:pStyle w:val="Compact"/>
              <w:jc w:val="left"/>
            </w:pPr>
            <w:r>
              <w:t xml:space="preserve">09</w:t>
            </w:r>
          </w:p>
        </w:tc>
        <w:tc>
          <w:tcPr/>
          <w:p>
            <w:pPr>
              <w:pStyle w:val="Compact"/>
              <w:jc w:val="left"/>
            </w:pPr>
            <w:r>
              <w:t xml:space="preserve">Pharmaceutical Packaging – Child-Resistant Blister Trays (5000 pcs)</w:t>
            </w:r>
          </w:p>
        </w:tc>
        <w:tc>
          <w:tcPr/>
          <w:p>
            <w:pPr>
              <w:pStyle w:val="Compact"/>
              <w:jc w:val="left"/>
            </w:pPr>
            <w:r>
              <w:t xml:space="preserve">SKU-PKG-2025-112</w:t>
            </w:r>
          </w:p>
        </w:tc>
        <w:tc>
          <w:tcPr/>
          <w:p>
            <w:pPr>
              <w:pStyle w:val="Compact"/>
              <w:jc w:val="left"/>
            </w:pPr>
            <w:r>
              <w:t xml:space="preserve">5</w:t>
            </w:r>
          </w:p>
        </w:tc>
        <w:tc>
          <w:tcPr/>
          <w:p>
            <w:pPr>
              <w:pStyle w:val="Compact"/>
              <w:jc w:val="left"/>
            </w:pPr>
            <w:r>
              <w:t xml:space="preserve">Pallets</w:t>
            </w:r>
          </w:p>
        </w:tc>
        <w:tc>
          <w:tcPr/>
          <w:p>
            <w:pPr>
              <w:pStyle w:val="Compact"/>
              <w:jc w:val="left"/>
            </w:pPr>
            <w:r>
              <w:t xml:space="preserve">320.00</w:t>
            </w:r>
          </w:p>
        </w:tc>
        <w:tc>
          <w:tcPr/>
          <w:p>
            <w:pPr>
              <w:pStyle w:val="Compact"/>
              <w:jc w:val="left"/>
            </w:pPr>
            <w:r>
              <w:t xml:space="preserve">1,600.00</w:t>
            </w:r>
          </w:p>
        </w:tc>
        <w:tc>
          <w:tcPr/>
          <w:p>
            <w:pPr>
              <w:pStyle w:val="Compact"/>
              <w:jc w:val="left"/>
            </w:pPr>
            <w:r>
              <w:t xml:space="preserve">22 Jun 2025</w:t>
            </w:r>
          </w:p>
        </w:tc>
      </w:tr>
      <w:tr>
        <w:tc>
          <w:tcPr/>
          <w:p>
            <w:pPr>
              <w:pStyle w:val="Compact"/>
              <w:jc w:val="left"/>
            </w:pPr>
            <w:r>
              <w:t xml:space="preserve">10</w:t>
            </w:r>
          </w:p>
        </w:tc>
        <w:tc>
          <w:tcPr/>
          <w:p>
            <w:pPr>
              <w:pStyle w:val="Compact"/>
              <w:jc w:val="left"/>
            </w:pPr>
            <w:r>
              <w:t xml:space="preserve">Refrigerated Transport Cooler Bags – 24h (Cold Chain Logistics)</w:t>
            </w:r>
          </w:p>
        </w:tc>
        <w:tc>
          <w:tcPr/>
          <w:p>
            <w:pPr>
              <w:pStyle w:val="Compact"/>
              <w:jc w:val="left"/>
            </w:pPr>
            <w:r>
              <w:t xml:space="preserve">SKU-CC-2025-034</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42.50</w:t>
            </w:r>
          </w:p>
        </w:tc>
        <w:tc>
          <w:tcPr/>
          <w:p>
            <w:pPr>
              <w:pStyle w:val="Compact"/>
              <w:jc w:val="left"/>
            </w:pPr>
            <w:r>
              <w:t xml:space="preserve">850.00</w:t>
            </w:r>
          </w:p>
        </w:tc>
        <w:tc>
          <w:tcPr/>
          <w:p>
            <w:pPr>
              <w:pStyle w:val="Compact"/>
              <w:jc w:val="left"/>
            </w:pPr>
            <w:r>
              <w:t xml:space="preserve">24 Jun 2025</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€ 23,376.00</w:t>
            </w:r>
          </w:p>
        </w:tc>
      </w:tr>
      <w:tr>
        <w:tc>
          <w:tcPr/>
          <w:p>
            <w:pPr>
              <w:pStyle w:val="Compact"/>
              <w:jc w:val="left"/>
            </w:pPr>
            <w:r>
              <w:t xml:space="preserve">VAT (19% – Germany Berlin Standard Rate)</w:t>
            </w:r>
          </w:p>
        </w:tc>
        <w:tc>
          <w:tcPr/>
          <w:p>
            <w:pPr>
              <w:pStyle w:val="Compact"/>
              <w:jc w:val="right"/>
            </w:pPr>
            <w:r>
              <w:t xml:space="preserve">€ 4,441.44</w:t>
            </w:r>
          </w:p>
        </w:tc>
      </w:tr>
      <w:tr>
        <w:tc>
          <w:tcPr/>
          <w:p>
            <w:pPr>
              <w:pStyle w:val="Compact"/>
              <w:jc w:val="left"/>
            </w:pPr>
            <w:r>
              <w:t xml:space="preserve">Delivery &amp; Handling (within Berlin, Germany)</w:t>
            </w:r>
          </w:p>
        </w:tc>
        <w:tc>
          <w:tcPr/>
          <w:p>
            <w:pPr>
              <w:pStyle w:val="Compact"/>
              <w:jc w:val="right"/>
            </w:pPr>
            <w:r>
              <w:t xml:space="preserve">€ 350.00</w:t>
            </w:r>
          </w:p>
        </w:tc>
      </w:tr>
      <w:tr>
        <w:tc>
          <w:tcPr/>
          <w:p>
            <w:pPr>
              <w:pStyle w:val="Compact"/>
              <w:jc w:val="left"/>
            </w:pPr>
            <w:r>
              <w:t xml:space="preserve">Grand Total (EUR)</w:t>
            </w:r>
          </w:p>
        </w:tc>
        <w:tc>
          <w:tcPr/>
          <w:p>
            <w:pPr>
              <w:pStyle w:val="Compact"/>
              <w:jc w:val="right"/>
            </w:pPr>
            <w:r>
              <w:t xml:space="preserve">€ 28,167.44</w:t>
            </w:r>
          </w:p>
        </w:tc>
      </w:tr>
    </w:tbl>
    <w:p>
      <w:pPr>
        <w:pStyle w:val="BodyText"/>
      </w:pPr>
      <w:r>
        <w:t xml:space="preserve">Terms &amp; Conditions</w:t>
      </w:r>
    </w:p>
    <w:p>
      <w:pPr>
        <w:numPr>
          <w:ilvl w:val="0"/>
          <w:numId w:val="1001"/>
        </w:numPr>
        <w:pStyle w:val="Compact"/>
      </w:pPr>
      <w:r>
        <w:rPr>
          <w:bCs/>
          <w:b/>
        </w:rPr>
        <w:t xml:space="preserve">Payment Terms:</w:t>
      </w:r>
      <w:r>
        <w:t xml:space="preserve"> </w:t>
      </w:r>
      <w:r>
        <w:t xml:space="preserve">Net 30 days from the date of invoice. Payment shall be made via SEPA bank transfer to the supplier's account in Germany Berlin. Late payments shall incur interest at the statutory rate under § 288 BGB (German Civil Code).</w:t>
      </w:r>
    </w:p>
    <w:p>
      <w:pPr>
        <w:numPr>
          <w:ilvl w:val="0"/>
          <w:numId w:val="1001"/>
        </w:numPr>
        <w:pStyle w:val="Compact"/>
      </w:pPr>
      <w:r>
        <w:rPr>
          <w:bCs/>
          <w:b/>
        </w:rPr>
        <w:t xml:space="preserve">Delivery Terms:</w:t>
      </w:r>
      <w:r>
        <w:t xml:space="preserve"> </w:t>
      </w:r>
      <w:r>
        <w:t xml:space="preserve">All goods shall be delivered DAP (Delivered at Place) to the Chemist's premises at Unter den Linden 42, 10117 Berlin, Germany. Risk of loss transfers to the buyer upon delivery at the designated location in Germany Berlin.</w:t>
      </w:r>
    </w:p>
    <w:p>
      <w:pPr>
        <w:numPr>
          <w:ilvl w:val="0"/>
          <w:numId w:val="1001"/>
        </w:numPr>
        <w:pStyle w:val="Compact"/>
      </w:pPr>
      <w:r>
        <w:rPr>
          <w:bCs/>
          <w:b/>
        </w:rPr>
        <w:t xml:space="preserve">Quality Assurance:</w:t>
      </w:r>
      <w:r>
        <w:t xml:space="preserve"> </w:t>
      </w:r>
      <w:r>
        <w:t xml:space="preserve">All pharmaceutical products supplied under this Purchase Order must comply with the German Medicines Act (Arzneimittelgesetz – AMG) and the European Pharmacopoeia. The Chemist reserves the right to reject any batch that fails quality inspection upon receipt.</w:t>
      </w:r>
    </w:p>
    <w:p>
      <w:pPr>
        <w:numPr>
          <w:ilvl w:val="0"/>
          <w:numId w:val="1001"/>
        </w:numPr>
        <w:pStyle w:val="Compact"/>
      </w:pPr>
      <w:r>
        <w:rPr>
          <w:bCs/>
          <w:b/>
        </w:rPr>
        <w:t xml:space="preserve">Cold Chain Compliance:</w:t>
      </w:r>
      <w:r>
        <w:t xml:space="preserve"> </w:t>
      </w:r>
      <w:r>
        <w:t xml:space="preserve">Temperature-sensitive items (Item #03) must be transported in validated cold-chain packaging maintaining 2 °C to 8 °C throughout transit within Germany Berlin. Temperature data loggers must accompany each shipment.</w:t>
      </w:r>
    </w:p>
    <w:p>
      <w:pPr>
        <w:numPr>
          <w:ilvl w:val="0"/>
          <w:numId w:val="1001"/>
        </w:numPr>
        <w:pStyle w:val="Compact"/>
      </w:pPr>
      <w:r>
        <w:rPr>
          <w:bCs/>
          <w:b/>
        </w:rPr>
        <w:t xml:space="preserve">Regulatory Compliance:</w:t>
      </w:r>
      <w:r>
        <w:t xml:space="preserve"> </w:t>
      </w:r>
      <w:r>
        <w:t xml:space="preserve">The supplier warrants that all products are registered with the Federal Institute for Drugs and Medical Devices (BfArM) and that all necessary import/export documentation for Germany Berlin is current and valid.</w:t>
      </w:r>
    </w:p>
    <w:p>
      <w:pPr>
        <w:numPr>
          <w:ilvl w:val="0"/>
          <w:numId w:val="1001"/>
        </w:numPr>
        <w:pStyle w:val="Compact"/>
      </w:pPr>
      <w:r>
        <w:rPr>
          <w:bCs/>
          <w:b/>
        </w:rPr>
        <w:t xml:space="preserve">Warranty &amp; Returns:</w:t>
      </w:r>
      <w:r>
        <w:t xml:space="preserve"> </w:t>
      </w:r>
      <w:r>
        <w:t xml:space="preserve">The Chemist may return unopened, undamaged products within 14 calendar days of delivery. Returns must be pre-approved in writing by the supplier's quality department.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regulations affecting pharmaceutical supply in Germany Berlin, or pandemics.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shall be subject to the exclusive jurisdiction of the competent courts in Berlin, Germany.</w:t>
      </w:r>
    </w:p>
    <w:p>
      <w:pPr>
        <w:numPr>
          <w:ilvl w:val="0"/>
          <w:numId w:val="1001"/>
        </w:numPr>
        <w:pStyle w:val="Compact"/>
      </w:pPr>
      <w:r>
        <w:rPr>
          <w:bCs/>
          <w:b/>
        </w:rPr>
        <w:t xml:space="preserve">Confidentiality:</w:t>
      </w:r>
      <w:r>
        <w:t xml:space="preserve"> </w:t>
      </w:r>
      <w:r>
        <w:t xml:space="preserve">Both parties agree to maintain confidentiality regarding pricing, quantities, and commercial terms contained in this Purchase Order. This obligation survives termination for a period of two (2) years.</w:t>
      </w:r>
    </w:p>
    <w:p>
      <w:pPr>
        <w:numPr>
          <w:ilvl w:val="0"/>
          <w:numId w:val="1001"/>
        </w:numPr>
        <w:pStyle w:val="Compact"/>
      </w:pPr>
      <w:r>
        <w:rPr>
          <w:bCs/>
          <w:b/>
        </w:rPr>
        <w:t xml:space="preserve">Validity:</w:t>
      </w:r>
      <w:r>
        <w:t xml:space="preserve"> </w:t>
      </w:r>
      <w:r>
        <w:t xml:space="preserve">This Purchase Order is valid for acceptance within five (5) business days of the date of issue. Failure to confirm acceptance within this period shall render this document null and void.</w:t>
      </w:r>
    </w:p>
    <w:p>
      <w:pPr>
        <w:pStyle w:val="FirstParagraph"/>
      </w:pPr>
      <w:r>
        <w:t xml:space="preserve">Authorisation &amp; Signatures</w:t>
      </w:r>
    </w:p>
    <w:p>
      <w:pPr>
        <w:pStyle w:val="BodyText"/>
      </w:pPr>
      <w:r>
        <w:rPr>
          <w:bCs/>
          <w:b/>
        </w:rPr>
        <w:t xml:space="preserve">For the Chemist (Buyer)</w:t>
      </w:r>
    </w:p>
    <w:p>
      <w:pPr>
        <w:pStyle w:val="BodyText"/>
      </w:pPr>
      <w:r>
        <w:t xml:space="preserve">Dr. Katharina Müller, PharmD</w:t>
      </w:r>
    </w:p>
    <w:p>
      <w:pPr>
        <w:pStyle w:val="BodyText"/>
      </w:pPr>
      <w:r>
        <w:t xml:space="preserve">Managing Director, Apotheke am Brandenburger Tor GmbH</w:t>
      </w:r>
    </w:p>
    <w:p>
      <w:pPr>
        <w:pStyle w:val="BodyText"/>
      </w:pPr>
      <w:r>
        <w:t xml:space="preserve">Berlin, Germany – 14 June 2025</w:t>
      </w:r>
    </w:p>
    <w:p>
      <w:pPr>
        <w:pStyle w:val="BodyText"/>
      </w:pPr>
      <w:r>
        <w:rPr>
          <w:bCs/>
          <w:b/>
        </w:rPr>
        <w:t xml:space="preserve">For the Supplier</w:t>
      </w:r>
    </w:p>
    <w:p>
      <w:pPr>
        <w:pStyle w:val="BodyText"/>
      </w:pPr>
      <w:r>
        <w:t xml:space="preserve">Stefan Weber</w:t>
      </w:r>
    </w:p>
    <w:p>
      <w:pPr>
        <w:pStyle w:val="BodyText"/>
      </w:pPr>
      <w:r>
        <w:t xml:space="preserve">Sales Director, PharmaLogistik Berlin GmbH</w:t>
      </w:r>
    </w:p>
    <w:p>
      <w:pPr>
        <w:pStyle w:val="BodyText"/>
      </w:pPr>
      <w:r>
        <w:t xml:space="preserve">Berlin, Germany – 14 June 2025</w:t>
      </w:r>
    </w:p>
    <w:p>
      <w:pPr>
        <w:pStyle w:val="BodyText"/>
      </w:pPr>
      <w:r>
        <w:rPr>
          <w:bCs/>
          <w:b/>
        </w:rPr>
        <w:t xml:space="preserve">Notice:</w:t>
      </w:r>
      <w:r>
        <w:t xml:space="preserve"> </w:t>
      </w:r>
      <w:r>
        <w:t xml:space="preserve">This Purchase Order is issued in accordance with the German Commercial Code (Handelsgesetzbuch – HGB) and applicable pharmaceutical regulations in Germany Berlin. All transactions are subject to the EU Falsified Medicines Directive (2011/62/EU). The Chemist's license to dispense and procure pharmaceutical products is maintained under the supervision of the Apothekerkammer Berlin. This document constitutes a legally binding procurement instrument upon signature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Berlin, Germany</dc:title>
  <dc:creator/>
  <dc:language>en</dc:language>
  <cp:keywords/>
  <dcterms:created xsi:type="dcterms:W3CDTF">2026-10-10T04:03:09Z</dcterms:created>
  <dcterms:modified xsi:type="dcterms:W3CDTF">2026-10-10T04:03:09Z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