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rPr>
          <w:bCs/>
          <w:b/>
        </w:rPr>
        <w:t xml:space="preserve">Apottheke Rhein-Main GmbH</w:t>
      </w:r>
      <w:r>
        <w:t xml:space="preserve"> </w:t>
      </w:r>
      <w:r>
        <w:t xml:space="preserve">— Licensed Chemist &amp; Pharmacy Supplier</w:t>
      </w:r>
    </w:p>
    <w:p>
      <w:pPr>
        <w:pStyle w:val="BodyText"/>
      </w:pPr>
      <w:r>
        <w:t xml:space="preserve">Frankfurt am Main, Germany — Sachsenhausen, Großer Hirschgraben 42-44, 60313 Frankfurt</w:t>
      </w:r>
    </w:p>
    <w:p>
      <w:pPr>
        <w:pStyle w:val="BodyText"/>
      </w:pPr>
      <w:r>
        <w:t xml:space="preserve">USt-IdNr: DE 123 456 789 | Tel: +49 69 1234 5678 | Email: purchasing@apottheke-rheinmain.de</w:t>
      </w:r>
    </w:p>
    <w:bookmarkEnd w:id="20"/>
    <w:p>
      <w:pPr>
        <w:pStyle w:val="BodyText"/>
      </w:pPr>
      <w:r>
        <w:rPr>
          <w:bCs/>
          <w:b/>
        </w:rPr>
        <w:t xml:space="preserve">Purchase Order No.:</w:t>
      </w:r>
      <w:r>
        <w:t xml:space="preserve"> </w:t>
      </w:r>
      <w:r>
        <w:t xml:space="preserve">PO-FRA-2025-04872</w:t>
      </w:r>
      <w:r>
        <w:br/>
      </w:r>
      <w:r>
        <w:rPr>
          <w:bCs/>
          <w:b/>
        </w:rPr>
        <w:t xml:space="preserve">Date of Issue:</w:t>
      </w:r>
      <w:r>
        <w:t xml:space="preserve"> </w:t>
      </w:r>
      <w:r>
        <w:t xml:space="preserve">14 June 2025</w:t>
      </w:r>
      <w:r>
        <w:br/>
      </w:r>
      <w:r>
        <w:rPr>
          <w:bCs/>
          <w:b/>
        </w:rPr>
        <w:t xml:space="preserve">Valid Until:</w:t>
      </w:r>
      <w:r>
        <w:t xml:space="preserve"> </w:t>
      </w:r>
      <w:r>
        <w:t xml:space="preserve">28 June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DAP Frankfurt</w:t>
      </w:r>
      <w:r>
        <w:br/>
      </w:r>
      <w:r>
        <w:rPr>
          <w:bCs/>
          <w:b/>
        </w:rPr>
        <w:t xml:space="preserve">Currency:</w:t>
      </w:r>
      <w:r>
        <w:t xml:space="preserve"> </w:t>
      </w:r>
      <w:r>
        <w:t xml:space="preserve">EUR (€)</w:t>
      </w:r>
    </w:p>
    <w:p>
      <w:pPr>
        <w:pStyle w:val="BodyText"/>
      </w:pPr>
      <w:r>
        <w:rPr>
          <w:bCs/>
          <w:b/>
        </w:rPr>
        <w:t xml:space="preserve">Delivery Location:</w:t>
      </w:r>
      <w:r>
        <w:t xml:space="preserve"> </w:t>
      </w:r>
      <w:r>
        <w:t xml:space="preserve">Chemist Warehouse, Frankfurt</w:t>
      </w:r>
      <w:r>
        <w:br/>
      </w:r>
      <w:r>
        <w:rPr>
          <w:bCs/>
          <w:b/>
        </w:rPr>
        <w:t xml:space="preserve">Delivery Date:</w:t>
      </w:r>
      <w:r>
        <w:t xml:space="preserve"> </w:t>
      </w:r>
      <w:r>
        <w:t xml:space="preserve">21 June 2025</w:t>
      </w:r>
      <w:r>
        <w:br/>
      </w:r>
      <w:r>
        <w:rPr>
          <w:bCs/>
          <w:b/>
        </w:rPr>
        <w:t xml:space="preserve">Priority:</w:t>
      </w:r>
      <w:r>
        <w:t xml:space="preserve"> </w:t>
      </w:r>
      <w:r>
        <w:t xml:space="preserve">Standard</w:t>
      </w:r>
    </w:p>
    <w:bookmarkStart w:id="21" w:name="supplier-chemist-details"/>
    <w:p>
      <w:pPr>
        <w:pStyle w:val="Heading2"/>
      </w:pPr>
      <w:r>
        <w:t xml:space="preserve">1. Supplier / Chemist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PharmaChem Frankfurt GmbH — Registered Chemist &amp; Pharmaceutical Distributor</w:t>
            </w:r>
          </w:p>
        </w:tc>
      </w:tr>
      <w:tr>
        <w:tc>
          <w:tcPr/>
          <w:p>
            <w:pPr>
              <w:pStyle w:val="Compact"/>
              <w:jc w:val="left"/>
            </w:pPr>
            <w:r>
              <w:rPr>
                <w:bCs/>
                <w:b/>
              </w:rPr>
              <w:t xml:space="preserve">Address:</w:t>
            </w:r>
          </w:p>
        </w:tc>
        <w:tc>
          <w:tcPr/>
          <w:p>
            <w:pPr>
              <w:pStyle w:val="Compact"/>
              <w:jc w:val="left"/>
            </w:pPr>
            <w:r>
              <w:t xml:space="preserve">Bockenheimer Landstraße 118, 60323 Frankfurt am Main, Germany</w:t>
            </w:r>
          </w:p>
        </w:tc>
      </w:tr>
      <w:tr>
        <w:tc>
          <w:tcPr/>
          <w:p>
            <w:pPr>
              <w:pStyle w:val="Compact"/>
              <w:jc w:val="left"/>
            </w:pPr>
            <w:r>
              <w:rPr>
                <w:bCs/>
                <w:b/>
              </w:rPr>
              <w:t xml:space="preserve">Contact Person:</w:t>
            </w:r>
          </w:p>
        </w:tc>
        <w:tc>
          <w:tcPr/>
          <w:p>
            <w:pPr>
              <w:pStyle w:val="Compact"/>
              <w:jc w:val="left"/>
            </w:pPr>
            <w:r>
              <w:t xml:space="preserve">Dr. Markus Weber, Head of Chemist Operations</w:t>
            </w:r>
          </w:p>
        </w:tc>
      </w:tr>
      <w:tr>
        <w:tc>
          <w:tcPr/>
          <w:p>
            <w:pPr>
              <w:pStyle w:val="Compact"/>
              <w:jc w:val="left"/>
            </w:pPr>
            <w:r>
              <w:rPr>
                <w:bCs/>
                <w:b/>
              </w:rPr>
              <w:t xml:space="preserve">Phone / Email:</w:t>
            </w:r>
          </w:p>
        </w:tc>
        <w:tc>
          <w:tcPr/>
          <w:p>
            <w:pPr>
              <w:pStyle w:val="Compact"/>
              <w:jc w:val="left"/>
            </w:pPr>
            <w:r>
              <w:t xml:space="preserve">+49 69 8877 6655 / orders@pharmachem-frankfurt.de</w:t>
            </w:r>
          </w:p>
        </w:tc>
      </w:tr>
      <w:tr>
        <w:tc>
          <w:tcPr/>
          <w:p>
            <w:pPr>
              <w:pStyle w:val="Compact"/>
              <w:jc w:val="left"/>
            </w:pPr>
            <w:r>
              <w:rPr>
                <w:bCs/>
                <w:b/>
              </w:rPr>
              <w:t xml:space="preserve">APhA / BfArM License:</w:t>
            </w:r>
          </w:p>
        </w:tc>
        <w:tc>
          <w:tcPr/>
          <w:p>
            <w:pPr>
              <w:pStyle w:val="Compact"/>
              <w:jc w:val="left"/>
            </w:pPr>
            <w:r>
              <w:t xml:space="preserve">German Federal Institute for Drugs and Medical Devices (BfArM) Reg. No. FR-2019-004421</w:t>
            </w:r>
          </w:p>
        </w:tc>
      </w:tr>
    </w:tbl>
    <w:bookmarkEnd w:id="21"/>
    <w:bookmarkStart w:id="22" w:name="buyer-receiving-chemist-details"/>
    <w:p>
      <w:pPr>
        <w:pStyle w:val="Heading2"/>
      </w:pPr>
      <w:r>
        <w:t xml:space="preserve">2. Buyer / Receiving Chemist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Apottheke Rhein-Main GmbH — Retail Chemist &amp; Community Pharmacy</w:t>
            </w:r>
          </w:p>
        </w:tc>
      </w:tr>
      <w:tr>
        <w:tc>
          <w:tcPr/>
          <w:p>
            <w:pPr>
              <w:pStyle w:val="Compact"/>
              <w:jc w:val="left"/>
            </w:pPr>
            <w:r>
              <w:rPr>
                <w:bCs/>
                <w:b/>
              </w:rPr>
              <w:t xml:space="preserve">Address:</w:t>
            </w:r>
          </w:p>
        </w:tc>
        <w:tc>
          <w:tcPr/>
          <w:p>
            <w:pPr>
              <w:pStyle w:val="Compact"/>
              <w:jc w:val="left"/>
            </w:pPr>
            <w:r>
              <w:t xml:space="preserve">Großer Hirschgraben 42-44, 60313 Frankfurt am Main, Germany</w:t>
            </w:r>
          </w:p>
        </w:tc>
      </w:tr>
      <w:tr>
        <w:tc>
          <w:tcPr/>
          <w:p>
            <w:pPr>
              <w:pStyle w:val="Compact"/>
              <w:jc w:val="left"/>
            </w:pPr>
            <w:r>
              <w:rPr>
                <w:bCs/>
                <w:b/>
              </w:rPr>
              <w:t xml:space="preserve">Contact Person:</w:t>
            </w:r>
          </w:p>
        </w:tc>
        <w:tc>
          <w:tcPr/>
          <w:p>
            <w:pPr>
              <w:pStyle w:val="Compact"/>
              <w:jc w:val="left"/>
            </w:pPr>
            <w:r>
              <w:t xml:space="preserve">Pharm. Anna Schneider, Managing Pharmacist &amp; Chemist-in-Charge</w:t>
            </w:r>
          </w:p>
        </w:tc>
      </w:tr>
      <w:tr>
        <w:tc>
          <w:tcPr/>
          <w:p>
            <w:pPr>
              <w:pStyle w:val="Compact"/>
              <w:jc w:val="left"/>
            </w:pPr>
            <w:r>
              <w:rPr>
                <w:bCs/>
                <w:b/>
              </w:rPr>
              <w:t xml:space="preserve">Phone / Email:</w:t>
            </w:r>
          </w:p>
        </w:tc>
        <w:tc>
          <w:tcPr/>
          <w:p>
            <w:pPr>
              <w:pStyle w:val="Compact"/>
              <w:jc w:val="left"/>
            </w:pPr>
            <w:r>
              <w:t xml:space="preserve">+49 69 1234 5678 / purchasing@apottheke-rheinmain.de</w:t>
            </w:r>
          </w:p>
        </w:tc>
      </w:tr>
      <w:tr>
        <w:tc>
          <w:tcPr/>
          <w:p>
            <w:pPr>
              <w:pStyle w:val="Compact"/>
              <w:jc w:val="left"/>
            </w:pPr>
            <w:r>
              <w:rPr>
                <w:bCs/>
                <w:b/>
              </w:rPr>
              <w:t xml:space="preserve">Bank / IBAN:</w:t>
            </w:r>
          </w:p>
        </w:tc>
        <w:tc>
          <w:tcPr/>
          <w:p>
            <w:pPr>
              <w:pStyle w:val="Compact"/>
              <w:jc w:val="left"/>
            </w:pPr>
            <w:r>
              <w:t xml:space="preserve">Commerzbank Frankfurt | DE89 7701 0000 0000 0000 00 | BIC: COBADEFFXXX</w:t>
            </w:r>
          </w:p>
        </w:tc>
      </w:tr>
    </w:tbl>
    <w:bookmarkEnd w:id="22"/>
    <w:bookmarkStart w:id="23" w:name="purchase-order-line-items"/>
    <w:p>
      <w:pPr>
        <w:pStyle w:val="Heading2"/>
      </w:pPr>
      <w:r>
        <w:t xml:space="preserve">3. 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PZN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Line Total (€)</w:t>
            </w:r>
          </w:p>
        </w:tc>
      </w:tr>
      <w:tr>
        <w:tc>
          <w:tcPr/>
          <w:p>
            <w:pPr>
              <w:pStyle w:val="Compact"/>
              <w:jc w:val="left"/>
            </w:pPr>
            <w:r>
              <w:t xml:space="preserve">001</w:t>
            </w:r>
          </w:p>
        </w:tc>
        <w:tc>
          <w:tcPr/>
          <w:p>
            <w:pPr>
              <w:pStyle w:val="Compact"/>
              <w:jc w:val="left"/>
            </w:pPr>
            <w:r>
              <w:t xml:space="preserve">Amoxicillin 500 mg Capsules (28 ct.) — Chemist-Grade Antibiotic</w:t>
            </w:r>
          </w:p>
        </w:tc>
        <w:tc>
          <w:tcPr/>
          <w:p>
            <w:pPr>
              <w:pStyle w:val="Compact"/>
              <w:jc w:val="left"/>
            </w:pPr>
            <w:r>
              <w:t xml:space="preserve">PZN 03012345</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12.40</w:t>
            </w:r>
          </w:p>
        </w:tc>
        <w:tc>
          <w:tcPr/>
          <w:p>
            <w:pPr>
              <w:pStyle w:val="Compact"/>
              <w:jc w:val="left"/>
            </w:pPr>
            <w:r>
              <w:t xml:space="preserve">2,480.00</w:t>
            </w:r>
          </w:p>
        </w:tc>
      </w:tr>
      <w:tr>
        <w:tc>
          <w:tcPr/>
          <w:p>
            <w:pPr>
              <w:pStyle w:val="Compact"/>
              <w:jc w:val="left"/>
            </w:pPr>
            <w:r>
              <w:t xml:space="preserve">002</w:t>
            </w:r>
          </w:p>
        </w:tc>
        <w:tc>
          <w:tcPr/>
          <w:p>
            <w:pPr>
              <w:pStyle w:val="Compact"/>
              <w:jc w:val="left"/>
            </w:pPr>
            <w:r>
              <w:t xml:space="preserve">Ibuprofen 400 mg Tablets (20 ct.) — OTC Chemist Product</w:t>
            </w:r>
          </w:p>
        </w:tc>
        <w:tc>
          <w:tcPr/>
          <w:p>
            <w:pPr>
              <w:pStyle w:val="Compact"/>
              <w:jc w:val="left"/>
            </w:pPr>
            <w:r>
              <w:t xml:space="preserve">PZN 03098765</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4.85</w:t>
            </w:r>
          </w:p>
        </w:tc>
        <w:tc>
          <w:tcPr/>
          <w:p>
            <w:pPr>
              <w:pStyle w:val="Compact"/>
              <w:jc w:val="left"/>
            </w:pPr>
            <w:r>
              <w:t xml:space="preserve">2,425.00</w:t>
            </w:r>
          </w:p>
        </w:tc>
      </w:tr>
      <w:tr>
        <w:tc>
          <w:tcPr/>
          <w:p>
            <w:pPr>
              <w:pStyle w:val="Compact"/>
              <w:jc w:val="left"/>
            </w:pPr>
            <w:r>
              <w:t xml:space="preserve">003</w:t>
            </w:r>
          </w:p>
        </w:tc>
        <w:tc>
          <w:tcPr/>
          <w:p>
            <w:pPr>
              <w:pStyle w:val="Compact"/>
              <w:jc w:val="left"/>
            </w:pPr>
            <w:r>
              <w:t xml:space="preserve">Salbutamol Inhaler 100 mcg (200 doses) — Prescription Chemist Item</w:t>
            </w:r>
          </w:p>
        </w:tc>
        <w:tc>
          <w:tcPr/>
          <w:p>
            <w:pPr>
              <w:pStyle w:val="Compact"/>
              <w:jc w:val="left"/>
            </w:pPr>
            <w:r>
              <w:t xml:space="preserve">PZN 04123456</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18.90</w:t>
            </w:r>
          </w:p>
        </w:tc>
        <w:tc>
          <w:tcPr/>
          <w:p>
            <w:pPr>
              <w:pStyle w:val="Compact"/>
              <w:jc w:val="left"/>
            </w:pPr>
            <w:r>
              <w:t xml:space="preserve">2,835.00</w:t>
            </w:r>
          </w:p>
        </w:tc>
      </w:tr>
      <w:tr>
        <w:tc>
          <w:tcPr/>
          <w:p>
            <w:pPr>
              <w:pStyle w:val="Compact"/>
              <w:jc w:val="left"/>
            </w:pPr>
            <w:r>
              <w:t xml:space="preserve">004</w:t>
            </w:r>
          </w:p>
        </w:tc>
        <w:tc>
          <w:tcPr/>
          <w:p>
            <w:pPr>
              <w:pStyle w:val="Compact"/>
              <w:jc w:val="left"/>
            </w:pPr>
            <w:r>
              <w:t xml:space="preserve">Metformin 850 mg Tablets (60 ct.) — Chemist Stocked Medication</w:t>
            </w:r>
          </w:p>
        </w:tc>
        <w:tc>
          <w:tcPr/>
          <w:p>
            <w:pPr>
              <w:pStyle w:val="Compact"/>
              <w:jc w:val="left"/>
            </w:pPr>
            <w:r>
              <w:t xml:space="preserve">PZN 05234567</w:t>
            </w:r>
          </w:p>
        </w:tc>
        <w:tc>
          <w:tcPr/>
          <w:p>
            <w:pPr>
              <w:pStyle w:val="Compact"/>
              <w:jc w:val="left"/>
            </w:pPr>
            <w:r>
              <w:t xml:space="preserve">300</w:t>
            </w:r>
          </w:p>
        </w:tc>
        <w:tc>
          <w:tcPr/>
          <w:p>
            <w:pPr>
              <w:pStyle w:val="Compact"/>
              <w:jc w:val="left"/>
            </w:pPr>
            <w:r>
              <w:t xml:space="preserve">Boxes</w:t>
            </w:r>
          </w:p>
        </w:tc>
        <w:tc>
          <w:tcPr/>
          <w:p>
            <w:pPr>
              <w:pStyle w:val="Compact"/>
              <w:jc w:val="left"/>
            </w:pPr>
            <w:r>
              <w:t xml:space="preserve">9.60</w:t>
            </w:r>
          </w:p>
        </w:tc>
        <w:tc>
          <w:tcPr/>
          <w:p>
            <w:pPr>
              <w:pStyle w:val="Compact"/>
              <w:jc w:val="left"/>
            </w:pPr>
            <w:r>
              <w:t xml:space="preserve">2,880.00</w:t>
            </w:r>
          </w:p>
        </w:tc>
      </w:tr>
      <w:tr>
        <w:tc>
          <w:tcPr/>
          <w:p>
            <w:pPr>
              <w:pStyle w:val="Compact"/>
              <w:jc w:val="left"/>
            </w:pPr>
            <w:r>
              <w:t xml:space="preserve">005</w:t>
            </w:r>
          </w:p>
        </w:tc>
        <w:tc>
          <w:tcPr/>
          <w:p>
            <w:pPr>
              <w:pStyle w:val="Compact"/>
              <w:jc w:val="left"/>
            </w:pPr>
            <w:r>
              <w:t xml:space="preserve">Pharmaceutical Compounding Powder Set (Chemist Lab Grade)</w:t>
            </w:r>
          </w:p>
        </w:tc>
        <w:tc>
          <w:tcPr/>
          <w:p>
            <w:pPr>
              <w:pStyle w:val="Compact"/>
              <w:jc w:val="left"/>
            </w:pPr>
            <w:r>
              <w:t xml:space="preserve">SKU-CHM-2025-089</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145.00</w:t>
            </w:r>
          </w:p>
        </w:tc>
        <w:tc>
          <w:tcPr/>
          <w:p>
            <w:pPr>
              <w:pStyle w:val="Compact"/>
              <w:jc w:val="left"/>
            </w:pPr>
            <w:r>
              <w:t xml:space="preserve">3,625.00</w:t>
            </w:r>
          </w:p>
        </w:tc>
      </w:tr>
      <w:tr>
        <w:tc>
          <w:tcPr/>
          <w:p>
            <w:pPr>
              <w:pStyle w:val="Compact"/>
              <w:jc w:val="left"/>
            </w:pPr>
            <w:r>
              <w:t xml:space="preserve">006</w:t>
            </w:r>
          </w:p>
        </w:tc>
        <w:tc>
          <w:tcPr/>
          <w:p>
            <w:pPr>
              <w:pStyle w:val="Compact"/>
              <w:jc w:val="left"/>
            </w:pPr>
            <w:r>
              <w:t xml:space="preserve">Sterile Gauze Pads 10x10 cm (100 pk.) — Chemist First-Aid Supply</w:t>
            </w:r>
          </w:p>
        </w:tc>
        <w:tc>
          <w:tcPr/>
          <w:p>
            <w:pPr>
              <w:pStyle w:val="Compact"/>
              <w:jc w:val="left"/>
            </w:pPr>
            <w:r>
              <w:t xml:space="preserve">SKU-MED-2025-112</w:t>
            </w:r>
          </w:p>
        </w:tc>
        <w:tc>
          <w:tcPr/>
          <w:p>
            <w:pPr>
              <w:pStyle w:val="Compact"/>
              <w:jc w:val="left"/>
            </w:pPr>
            <w:r>
              <w:t xml:space="preserve">100</w:t>
            </w:r>
          </w:p>
        </w:tc>
        <w:tc>
          <w:tcPr/>
          <w:p>
            <w:pPr>
              <w:pStyle w:val="Compact"/>
              <w:jc w:val="left"/>
            </w:pPr>
            <w:r>
              <w:t xml:space="preserve">Packs</w:t>
            </w:r>
          </w:p>
        </w:tc>
        <w:tc>
          <w:tcPr/>
          <w:p>
            <w:pPr>
              <w:pStyle w:val="Compact"/>
              <w:jc w:val="left"/>
            </w:pPr>
            <w:r>
              <w:t xml:space="preserve">6.20</w:t>
            </w:r>
          </w:p>
        </w:tc>
        <w:tc>
          <w:tcPr/>
          <w:p>
            <w:pPr>
              <w:pStyle w:val="Compact"/>
              <w:jc w:val="left"/>
            </w:pPr>
            <w:r>
              <w:t xml:space="preserve">620.00</w:t>
            </w:r>
          </w:p>
        </w:tc>
      </w:tr>
      <w:tr>
        <w:tc>
          <w:tcPr/>
          <w:p>
            <w:pPr>
              <w:pStyle w:val="Compact"/>
              <w:jc w:val="left"/>
            </w:pPr>
            <w:r>
              <w:t xml:space="preserve">007</w:t>
            </w:r>
          </w:p>
        </w:tc>
        <w:tc>
          <w:tcPr/>
          <w:p>
            <w:pPr>
              <w:pStyle w:val="Compact"/>
              <w:jc w:val="left"/>
            </w:pPr>
            <w:r>
              <w:t xml:space="preserve">Digital Thermometer (Clinical, Chemist-Approved) — Batch of 50</w:t>
            </w:r>
          </w:p>
        </w:tc>
        <w:tc>
          <w:tcPr/>
          <w:p>
            <w:pPr>
              <w:pStyle w:val="Compact"/>
              <w:jc w:val="left"/>
            </w:pPr>
            <w:r>
              <w:t xml:space="preserve">SKU-DEV-2025-034</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14.50</w:t>
            </w:r>
          </w:p>
        </w:tc>
        <w:tc>
          <w:tcPr/>
          <w:p>
            <w:pPr>
              <w:pStyle w:val="Compact"/>
              <w:jc w:val="left"/>
            </w:pPr>
            <w:r>
              <w:t xml:space="preserve">725.00</w:t>
            </w:r>
          </w:p>
        </w:tc>
      </w:tr>
      <w:tr>
        <w:tc>
          <w:tcPr/>
          <w:p>
            <w:pPr>
              <w:pStyle w:val="Compact"/>
              <w:jc w:val="left"/>
            </w:pPr>
            <w:r>
              <w:t xml:space="preserve">008</w:t>
            </w:r>
          </w:p>
        </w:tc>
        <w:tc>
          <w:tcPr/>
          <w:p>
            <w:pPr>
              <w:pStyle w:val="Compact"/>
              <w:jc w:val="left"/>
            </w:pPr>
            <w:r>
              <w:t xml:space="preserve">Vitamin D3 2000 IU Softgels (90 ct.) — Chemist Health Supplement</w:t>
            </w:r>
          </w:p>
        </w:tc>
        <w:tc>
          <w:tcPr/>
          <w:p>
            <w:pPr>
              <w:pStyle w:val="Compact"/>
              <w:jc w:val="left"/>
            </w:pPr>
            <w:r>
              <w:t xml:space="preserve">PZN 06345678</w:t>
            </w:r>
          </w:p>
        </w:tc>
        <w:tc>
          <w:tcPr/>
          <w:p>
            <w:pPr>
              <w:pStyle w:val="Compact"/>
              <w:jc w:val="left"/>
            </w:pPr>
            <w:r>
              <w:t xml:space="preserve">400</w:t>
            </w:r>
          </w:p>
        </w:tc>
        <w:tc>
          <w:tcPr/>
          <w:p>
            <w:pPr>
              <w:pStyle w:val="Compact"/>
              <w:jc w:val="left"/>
            </w:pPr>
            <w:r>
              <w:t xml:space="preserve">Boxes</w:t>
            </w:r>
          </w:p>
        </w:tc>
        <w:tc>
          <w:tcPr/>
          <w:p>
            <w:pPr>
              <w:pStyle w:val="Compact"/>
              <w:jc w:val="left"/>
            </w:pPr>
            <w:r>
              <w:t xml:space="preserve">7.30</w:t>
            </w:r>
          </w:p>
        </w:tc>
        <w:tc>
          <w:tcPr/>
          <w:p>
            <w:pPr>
              <w:pStyle w:val="Compact"/>
              <w:jc w:val="left"/>
            </w:pPr>
            <w:r>
              <w:t xml:space="preserve">2,920.00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€ 18,510.00</w:t>
            </w:r>
          </w:p>
        </w:tc>
      </w:tr>
      <w:tr>
        <w:tc>
          <w:tcPr/>
          <w:p>
            <w:pPr>
              <w:pStyle w:val="Compact"/>
              <w:jc w:val="right"/>
            </w:pPr>
            <w:r>
              <w:t xml:space="preserve">VAT (19% — Germany Standard Rate):</w:t>
            </w:r>
          </w:p>
        </w:tc>
        <w:tc>
          <w:tcPr/>
          <w:p>
            <w:pPr>
              <w:pStyle w:val="Compact"/>
              <w:jc w:val="left"/>
            </w:pPr>
            <w:r>
              <w:t xml:space="preserve">€ 3,516.90</w:t>
            </w:r>
          </w:p>
        </w:tc>
      </w:tr>
      <w:tr>
        <w:tc>
          <w:tcPr/>
          <w:p>
            <w:pPr>
              <w:pStyle w:val="Compact"/>
              <w:jc w:val="right"/>
            </w:pPr>
            <w:r>
              <w:t xml:space="preserve">Delivery &amp; Handling (Frankfurt Metro Area):</w:t>
            </w:r>
          </w:p>
        </w:tc>
        <w:tc>
          <w:tcPr/>
          <w:p>
            <w:pPr>
              <w:pStyle w:val="Compact"/>
              <w:jc w:val="left"/>
            </w:pPr>
            <w:r>
              <w:t xml:space="preserve">€ 185.00</w:t>
            </w:r>
          </w:p>
        </w:tc>
      </w:tr>
      <w:tr>
        <w:tc>
          <w:tcPr/>
          <w:p>
            <w:pPr>
              <w:pStyle w:val="Compact"/>
              <w:jc w:val="right"/>
            </w:pPr>
            <w:r>
              <w:t xml:space="preserve">Grand Total (EUR):</w:t>
            </w:r>
          </w:p>
        </w:tc>
        <w:tc>
          <w:tcPr/>
          <w:p>
            <w:pPr>
              <w:pStyle w:val="Compact"/>
              <w:jc w:val="left"/>
            </w:pPr>
            <w:r>
              <w:t xml:space="preserve">€ 22,211.90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issued by Apottheke Rhein-Main GmbH, a licensed Chemist operating in Frankfurt, Germany, and constitutes a binding request for the supply of pharmaceutical and medical products as itemised above.</w:t>
      </w:r>
    </w:p>
    <w:p>
      <w:pPr>
        <w:pStyle w:val="BodyText"/>
      </w:pPr>
      <w:r>
        <w:rPr>
          <w:bCs/>
          <w:b/>
        </w:rPr>
        <w:t xml:space="preserve">4.2</w:t>
      </w:r>
      <w:r>
        <w:t xml:space="preserve"> </w:t>
      </w:r>
      <w:r>
        <w:t xml:space="preserve">The Chemist supplier, PharmaChem Frankfurt GmbH, shall ensure that all products comply with the German Medicines Act (Arzneimittelgesetz — AMG), the EU Good Distribution Practice (GDP) guidelines, and all applicable regulations enforced by the BfArM in Germany.</w:t>
      </w:r>
    </w:p>
    <w:p>
      <w:pPr>
        <w:pStyle w:val="BodyText"/>
      </w:pPr>
      <w:r>
        <w:rPr>
          <w:bCs/>
          <w:b/>
        </w:rPr>
        <w:t xml:space="preserve">4.3</w:t>
      </w:r>
      <w:r>
        <w:t xml:space="preserve"> </w:t>
      </w:r>
      <w:r>
        <w:t xml:space="preserve">Delivery shall be made to the Chemist premises located in Frankfurt am Main, Germany, at the address specified in Section 2. The Chemist buyer shall inspect all goods upon receipt and report any discrepancies, damage, or expired stock within 48 hours of delivery.</w:t>
      </w:r>
    </w:p>
    <w:p>
      <w:pPr>
        <w:pStyle w:val="BodyText"/>
      </w:pPr>
      <w:r>
        <w:rPr>
          <w:bCs/>
          <w:b/>
        </w:rPr>
        <w:t xml:space="preserve">4.4</w:t>
      </w:r>
      <w:r>
        <w:t xml:space="preserve"> </w:t>
      </w:r>
      <w:r>
        <w:t xml:space="preserve">Payment shall be made via SEPA bank transfer to the IBAN listed in Section 2 within thirty (30) calendar days of the invoice date. Late payments shall incur interest at the statutory rate under German commercial law (HGB § 288).</w:t>
      </w:r>
    </w:p>
    <w:p>
      <w:pPr>
        <w:pStyle w:val="BodyText"/>
      </w:pPr>
      <w:r>
        <w:rPr>
          <w:bCs/>
          <w:b/>
        </w:rPr>
        <w:t xml:space="preserve">4.5</w:t>
      </w:r>
      <w:r>
        <w:t xml:space="preserve"> </w:t>
      </w:r>
      <w:r>
        <w:t xml:space="preserve">This Purchase Order is governed by the laws of the Federal Republic of Germany. Any disputes arising from this Purchase Order shall be subject to the exclusive jurisdiction of the competent courts in Frankfurt am Main, Germany.</w:t>
      </w:r>
    </w:p>
    <w:p>
      <w:pPr>
        <w:pStyle w:val="BodyText"/>
      </w:pPr>
      <w:r>
        <w:rPr>
          <w:bCs/>
          <w:b/>
        </w:rPr>
        <w:t xml:space="preserve">4.6</w:t>
      </w:r>
      <w:r>
        <w:t xml:space="preserve"> </w:t>
      </w:r>
      <w:r>
        <w:t xml:space="preserve">The Chemist supplier warrants that all pharmaceutical products are within their expiry date (minimum 12 months remaining at time of delivery) and are stored and transported in accordance with GDP requirements for the Frankfurt region.</w:t>
      </w:r>
    </w:p>
    <w:p>
      <w:pPr>
        <w:pStyle w:val="BodyText"/>
      </w:pPr>
      <w:r>
        <w:rPr>
          <w:bCs/>
          <w:b/>
        </w:rPr>
        <w:t xml:space="preserve">4.7</w:t>
      </w:r>
      <w:r>
        <w:t xml:space="preserve"> </w:t>
      </w:r>
      <w:r>
        <w:t xml:space="preserve">Cancellation or modification of this Purchase Order may only be made in writing by both parties. The Chemist buyer reserves the right to reject non-conforming goods without penalty.</w:t>
      </w:r>
    </w:p>
    <w:bookmarkEnd w:id="24"/>
    <w:bookmarkStart w:id="25" w:name="authorisation-and-signatures"/>
    <w:p>
      <w:pPr>
        <w:pStyle w:val="Heading2"/>
      </w:pPr>
      <w:r>
        <w:t xml:space="preserve">5. Authorisation and Signatures</w:t>
      </w:r>
    </w:p>
    <w:p>
      <w:pPr>
        <w:pStyle w:val="FirstParagraph"/>
      </w:pPr>
      <w:r>
        <w:rPr>
          <w:bCs/>
          <w:b/>
        </w:rPr>
        <w:t xml:space="preserve">For the Chemist Buyer (Apottheke Rhein-Main GmbH):</w:t>
      </w:r>
    </w:p>
    <w:p>
      <w:pPr>
        <w:pStyle w:val="BodyText"/>
      </w:pPr>
      <w:r>
        <w:rPr>
          <w:bCs/>
          <w:b/>
        </w:rPr>
        <w:t xml:space="preserve">Pharm. Anna Schneider</w:t>
      </w:r>
      <w:r>
        <w:br/>
      </w:r>
      <w:r>
        <w:t xml:space="preserve">Managing Pharmacist / Chemist-in-Charge</w:t>
      </w:r>
      <w:r>
        <w:br/>
      </w:r>
      <w:r>
        <w:t xml:space="preserve">Date: _______________</w:t>
      </w:r>
    </w:p>
    <w:p>
      <w:pPr>
        <w:pStyle w:val="BodyText"/>
      </w:pPr>
      <w:r>
        <w:rPr>
          <w:bCs/>
          <w:b/>
        </w:rPr>
        <w:t xml:space="preserve">For the Chemist Supplier (PharmaChem Frankfurt GmbH):</w:t>
      </w:r>
    </w:p>
    <w:p>
      <w:pPr>
        <w:pStyle w:val="BodyText"/>
      </w:pPr>
      <w:r>
        <w:rPr>
          <w:bCs/>
          <w:b/>
        </w:rPr>
        <w:t xml:space="preserve">Dr. Markus Weber</w:t>
      </w:r>
      <w:r>
        <w:br/>
      </w:r>
      <w:r>
        <w:t xml:space="preserve">Head of Chemist Operations</w:t>
      </w:r>
      <w:r>
        <w:br/>
      </w:r>
      <w:r>
        <w:t xml:space="preserve">Date: _______________</w:t>
      </w:r>
    </w:p>
    <w:bookmarkEnd w:id="25"/>
    <w:p>
      <w:pPr>
        <w:pStyle w:val="BodyText"/>
      </w:pPr>
      <w:r>
        <w:t xml:space="preserve">This Purchase Order (PO-FRA-2025-04872) was generated for the Chemist operations of Apottheke Rhein-Main GmbH, Frankfurt am Main, Germany. All transactions are subject to German commercial and pharmaceutical law. For queries, contact the purchasing department at purchasing@apottheke-rheinmain.de. © 2025 Apottheke Rhein-Main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Frankfurt, Germany</dc:title>
  <dc:creator/>
  <dc:language>en</dc:language>
  <cp:keywords/>
  <dcterms:created xsi:type="dcterms:W3CDTF">2026-10-10T04:04:03Z</dcterms:created>
  <dcterms:modified xsi:type="dcterms:W3CDTF">2026-10-10T04:04:03Z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