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rPr>
          <w:bCs/>
          <w:b/>
        </w:rPr>
        <w:t xml:space="preserve">PT. Nusantara Medika Supply Co., Ltd.</w:t>
      </w:r>
    </w:p>
    <w:p>
      <w:pPr>
        <w:pStyle w:val="BodyText"/>
      </w:pPr>
      <w:r>
        <w:t xml:space="preserve">Jl. Jend. Sudirman Kav. 52-53, SCBD District, Jakarta Selatan, Indonesia Jakarta 12190</w:t>
      </w:r>
    </w:p>
    <w:p>
      <w:pPr>
        <w:pStyle w:val="BodyText"/>
      </w:pPr>
      <w:r>
        <w:t xml:space="preserve">Tel: +62-21-5790-4433 | Email: procurement@nusantaramedika.co.id</w:t>
      </w:r>
    </w:p>
    <w:p>
      <w:pPr>
        <w:pStyle w:val="BodyText"/>
      </w:pPr>
      <w:r>
        <w:t xml:space="preserve">NPWP: 01.234.567.8-012.000 | Business License (NIB): 8120012345678</w:t>
      </w:r>
    </w:p>
    <w:bookmarkEnd w:id="20"/>
    <w:p>
      <w:pPr>
        <w:pStyle w:val="BodyText"/>
      </w:pPr>
      <w:r>
        <w:rPr>
          <w:bCs/>
          <w:b/>
        </w:rPr>
        <w:t xml:space="preserve">Purchase Order No.:</w:t>
      </w:r>
      <w:r>
        <w:t xml:space="preserve"> </w:t>
      </w:r>
      <w:r>
        <w:t xml:space="preserve">PO/JKT/2025/00487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28 June 2025</w:t>
      </w:r>
    </w:p>
    <w:p>
      <w:pPr>
        <w:pStyle w:val="BodyText"/>
      </w:pPr>
      <w:r>
        <w:rPr>
          <w:bCs/>
          <w:b/>
        </w:rPr>
        <w:t xml:space="preserve">Delivery Deadline:</w:t>
      </w:r>
      <w:r>
        <w:t xml:space="preserve"> </w:t>
      </w:r>
      <w:r>
        <w:t xml:space="preserve">25 June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DDP Jakarta</w:t>
      </w:r>
    </w:p>
    <w:p>
      <w:pPr>
        <w:pStyle w:val="BodyText"/>
      </w:pPr>
      <w:r>
        <w:t xml:space="preserve">SUPPLIER / CHEMIST DETAILS</w:t>
      </w:r>
    </w:p>
    <w:p>
      <w:pPr>
        <w:pStyle w:val="BodyText"/>
      </w:pPr>
      <w:r>
        <w:rPr>
          <w:bCs/>
          <w:b/>
        </w:rPr>
        <w:t xml:space="preserve">Chemist Name:</w:t>
      </w:r>
      <w:r>
        <w:t xml:space="preserve"> </w:t>
      </w:r>
      <w:r>
        <w:t xml:space="preserve">PT. Apotek Sehat Nusantara (Licensed Chemist &amp; Pharmacy Distributor)</w:t>
      </w:r>
    </w:p>
    <w:p>
      <w:pPr>
        <w:pStyle w:val="BodyText"/>
      </w:pPr>
      <w:r>
        <w:rPr>
          <w:bCs/>
          <w:b/>
        </w:rPr>
        <w:t xml:space="preserve">Address:</w:t>
      </w:r>
      <w:r>
        <w:t xml:space="preserve"> </w:t>
      </w:r>
      <w:r>
        <w:t xml:space="preserve">Jl. Gatot Subroto No. 88, Kebayoran Baru, Jakarta Selatan, Indonesia Jakarta 12130</w:t>
      </w:r>
    </w:p>
    <w:p>
      <w:pPr>
        <w:pStyle w:val="BodyText"/>
      </w:pPr>
      <w:r>
        <w:rPr>
          <w:bCs/>
          <w:b/>
        </w:rPr>
        <w:t xml:space="preserve">Contact Person:</w:t>
      </w:r>
      <w:r>
        <w:t xml:space="preserve"> </w:t>
      </w:r>
      <w:r>
        <w:t xml:space="preserve">Dr. Pharm. Andi Wijaya, M.Farm. (Head of Chemist Operations)</w:t>
      </w:r>
    </w:p>
    <w:p>
      <w:pPr>
        <w:pStyle w:val="BodyText"/>
      </w:pPr>
      <w:r>
        <w:rPr>
          <w:bCs/>
          <w:b/>
        </w:rPr>
        <w:t xml:space="preserve">Phone:</w:t>
      </w:r>
      <w:r>
        <w:t xml:space="preserve"> </w:t>
      </w:r>
      <w:r>
        <w:t xml:space="preserve">+62-21-7280-9911 |</w:t>
      </w:r>
      <w:r>
        <w:t xml:space="preserve"> </w:t>
      </w:r>
      <w:r>
        <w:rPr>
          <w:bCs/>
          <w:b/>
        </w:rPr>
        <w:t xml:space="preserve">Email:</w:t>
      </w:r>
      <w:r>
        <w:t xml:space="preserve"> </w:t>
      </w:r>
      <w:r>
        <w:t xml:space="preserve">sales@apoteksehatnusantara.co.id</w:t>
      </w:r>
    </w:p>
    <w:p>
      <w:pPr>
        <w:pStyle w:val="BodyText"/>
      </w:pPr>
      <w:r>
        <w:rPr>
          <w:bCs/>
          <w:b/>
        </w:rPr>
        <w:t xml:space="preserve">BPOM Registration No.:</w:t>
      </w:r>
      <w:r>
        <w:t xml:space="preserve"> </w:t>
      </w:r>
      <w:r>
        <w:t xml:space="preserve">PKM.2019.045678 |</w:t>
      </w:r>
      <w:r>
        <w:t xml:space="preserve"> </w:t>
      </w:r>
      <w:r>
        <w:rPr>
          <w:bCs/>
          <w:b/>
        </w:rPr>
        <w:t xml:space="preserve">Pharmacy License (SIUP Apotek):</w:t>
      </w:r>
      <w:r>
        <w:t xml:space="preserve"> </w:t>
      </w:r>
      <w:r>
        <w:t xml:space="preserve">440/1234/DINKES/2024</w:t>
      </w:r>
    </w:p>
    <w:p>
      <w:pPr>
        <w:pStyle w:val="BodyText"/>
      </w:pPr>
      <w:r>
        <w:rPr>
          <w:bCs/>
          <w:b/>
        </w:rPr>
        <w:t xml:space="preserve">Chemist License Holder:</w:t>
      </w:r>
      <w:r>
        <w:t xml:space="preserve"> </w:t>
      </w:r>
      <w:r>
        <w:t xml:space="preserve">Dr. Pharm. Andi Wijaya, S.Farm., Apt. (KIA No. 1100-2019-0045)</w:t>
      </w:r>
    </w:p>
    <w:p>
      <w:pPr>
        <w:pStyle w:val="BodyText"/>
      </w:pPr>
      <w:r>
        <w:t xml:space="preserve">PURCHASER / BUYER DETAILS</w:t>
      </w:r>
    </w:p>
    <w:p>
      <w:pPr>
        <w:pStyle w:val="BodyText"/>
      </w:pPr>
      <w:r>
        <w:rPr>
          <w:bCs/>
          <w:b/>
        </w:rPr>
        <w:t xml:space="preserve">Buyer:</w:t>
      </w:r>
      <w:r>
        <w:t xml:space="preserve"> </w:t>
      </w:r>
      <w:r>
        <w:t xml:space="preserve">PT. Nusantara Medika Supply Co., Ltd. – Central Procurement Department</w:t>
      </w:r>
    </w:p>
    <w:p>
      <w:pPr>
        <w:pStyle w:val="BodyText"/>
      </w:pPr>
      <w:r>
        <w:rPr>
          <w:bCs/>
          <w:b/>
        </w:rPr>
        <w:t xml:space="preserve">Address:</w:t>
      </w:r>
      <w:r>
        <w:t xml:space="preserve"> </w:t>
      </w:r>
      <w:r>
        <w:t xml:space="preserve">Jl. Jend. Sudirman Kav. 52-53, SCBD District, Jakarta Selatan, Indonesia Jakarta 12190</w:t>
      </w:r>
    </w:p>
    <w:p>
      <w:pPr>
        <w:pStyle w:val="BodyText"/>
      </w:pPr>
      <w:r>
        <w:rPr>
          <w:bCs/>
          <w:b/>
        </w:rPr>
        <w:t xml:space="preserve">Authorized Signatory:</w:t>
      </w:r>
      <w:r>
        <w:t xml:space="preserve"> </w:t>
      </w:r>
      <w:r>
        <w:t xml:space="preserve">Mrs. Ratna Dewi Santoso, Procurement Manager</w:t>
      </w:r>
    </w:p>
    <w:p>
      <w:pPr>
        <w:pStyle w:val="BodyText"/>
      </w:pPr>
      <w:r>
        <w:rPr>
          <w:bCs/>
          <w:b/>
        </w:rPr>
        <w:t xml:space="preserve">Phone:</w:t>
      </w:r>
      <w:r>
        <w:t xml:space="preserve"> </w:t>
      </w:r>
      <w:r>
        <w:t xml:space="preserve">+62-21-5790-4433 |</w:t>
      </w:r>
      <w:r>
        <w:t xml:space="preserve"> </w:t>
      </w:r>
      <w:r>
        <w:rPr>
          <w:bCs/>
          <w:b/>
        </w:rPr>
        <w:t xml:space="preserve">Email:</w:t>
      </w:r>
      <w:r>
        <w:t xml:space="preserve"> </w:t>
      </w:r>
      <w:r>
        <w:t xml:space="preserve">procurement@nusantaramedika.co.id</w:t>
      </w:r>
    </w:p>
    <w:p>
      <w:pPr>
        <w:pStyle w:val="BodyText"/>
      </w:pPr>
      <w:r>
        <w:t xml:space="preserve">ITEMS ORDERED – CHEMIST PHARMACEUTICAL &amp; MEDICAL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BPOM Reg. No.</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Amoxicillin 500 mg Capsules (Chemist-grade, 100 caps/box)</w:t>
            </w:r>
          </w:p>
        </w:tc>
        <w:tc>
          <w:tcPr/>
          <w:p>
            <w:pPr>
              <w:pStyle w:val="Compact"/>
              <w:jc w:val="left"/>
            </w:pPr>
            <w:r>
              <w:t xml:space="preserve">DBL1903456789A1</w:t>
            </w:r>
          </w:p>
        </w:tc>
        <w:tc>
          <w:tcPr/>
          <w:p>
            <w:pPr>
              <w:pStyle w:val="Compact"/>
              <w:jc w:val="left"/>
            </w:pPr>
            <w:r>
              <w:t xml:space="preserve">Box</w:t>
            </w:r>
          </w:p>
        </w:tc>
        <w:tc>
          <w:tcPr/>
          <w:p>
            <w:pPr>
              <w:pStyle w:val="Compact"/>
              <w:jc w:val="left"/>
            </w:pPr>
            <w:r>
              <w:t xml:space="preserve">500</w:t>
            </w:r>
          </w:p>
        </w:tc>
        <w:tc>
          <w:tcPr/>
          <w:p>
            <w:pPr>
              <w:pStyle w:val="Compact"/>
              <w:jc w:val="left"/>
            </w:pPr>
            <w:r>
              <w:t xml:space="preserve">85,000</w:t>
            </w:r>
          </w:p>
        </w:tc>
        <w:tc>
          <w:tcPr/>
          <w:p>
            <w:pPr>
              <w:pStyle w:val="Compact"/>
              <w:jc w:val="left"/>
            </w:pPr>
            <w:r>
              <w:t xml:space="preserve">42,500,000</w:t>
            </w:r>
          </w:p>
        </w:tc>
      </w:tr>
      <w:tr>
        <w:tc>
          <w:tcPr/>
          <w:p>
            <w:pPr>
              <w:pStyle w:val="Compact"/>
              <w:jc w:val="left"/>
            </w:pPr>
            <w:r>
              <w:t xml:space="preserve">2</w:t>
            </w:r>
          </w:p>
        </w:tc>
        <w:tc>
          <w:tcPr/>
          <w:p>
            <w:pPr>
              <w:pStyle w:val="Compact"/>
              <w:jc w:val="left"/>
            </w:pPr>
            <w:r>
              <w:t xml:space="preserve">Ibuprofen 400 mg Tablets (Chemist formulation, 30 tabs/strip)</w:t>
            </w:r>
          </w:p>
        </w:tc>
        <w:tc>
          <w:tcPr/>
          <w:p>
            <w:pPr>
              <w:pStyle w:val="Compact"/>
              <w:jc w:val="left"/>
            </w:pPr>
            <w:r>
              <w:t xml:space="preserve">DBL1903456790A2</w:t>
            </w:r>
          </w:p>
        </w:tc>
        <w:tc>
          <w:tcPr/>
          <w:p>
            <w:pPr>
              <w:pStyle w:val="Compact"/>
              <w:jc w:val="left"/>
            </w:pPr>
            <w:r>
              <w:t xml:space="preserve">Strip</w:t>
            </w:r>
          </w:p>
        </w:tc>
        <w:tc>
          <w:tcPr/>
          <w:p>
            <w:pPr>
              <w:pStyle w:val="Compact"/>
              <w:jc w:val="left"/>
            </w:pPr>
            <w:r>
              <w:t xml:space="preserve">2,000</w:t>
            </w:r>
          </w:p>
        </w:tc>
        <w:tc>
          <w:tcPr/>
          <w:p>
            <w:pPr>
              <w:pStyle w:val="Compact"/>
              <w:jc w:val="left"/>
            </w:pPr>
            <w:r>
              <w:t xml:space="preserve">12,500</w:t>
            </w:r>
          </w:p>
        </w:tc>
        <w:tc>
          <w:tcPr/>
          <w:p>
            <w:pPr>
              <w:pStyle w:val="Compact"/>
              <w:jc w:val="left"/>
            </w:pPr>
            <w:r>
              <w:t xml:space="preserve">25,000,000</w:t>
            </w:r>
          </w:p>
        </w:tc>
      </w:tr>
      <w:tr>
        <w:tc>
          <w:tcPr/>
          <w:p>
            <w:pPr>
              <w:pStyle w:val="Compact"/>
              <w:jc w:val="left"/>
            </w:pPr>
            <w:r>
              <w:t xml:space="preserve">3</w:t>
            </w:r>
          </w:p>
        </w:tc>
        <w:tc>
          <w:tcPr/>
          <w:p>
            <w:pPr>
              <w:pStyle w:val="Compact"/>
              <w:jc w:val="left"/>
            </w:pPr>
            <w:r>
              <w:t xml:space="preserve">Paracetamol 500 mg Syrup 100 ml (Pediatric Chemist product)</w:t>
            </w:r>
          </w:p>
        </w:tc>
        <w:tc>
          <w:tcPr/>
          <w:p>
            <w:pPr>
              <w:pStyle w:val="Compact"/>
              <w:jc w:val="left"/>
            </w:pPr>
            <w:r>
              <w:t xml:space="preserve">DBL1903456791A3</w:t>
            </w:r>
          </w:p>
        </w:tc>
        <w:tc>
          <w:tcPr/>
          <w:p>
            <w:pPr>
              <w:pStyle w:val="Compact"/>
              <w:jc w:val="left"/>
            </w:pPr>
            <w:r>
              <w:t xml:space="preserve">Bottle</w:t>
            </w:r>
          </w:p>
        </w:tc>
        <w:tc>
          <w:tcPr/>
          <w:p>
            <w:pPr>
              <w:pStyle w:val="Compact"/>
              <w:jc w:val="left"/>
            </w:pPr>
            <w:r>
              <w:t xml:space="preserve">1,000</w:t>
            </w:r>
          </w:p>
        </w:tc>
        <w:tc>
          <w:tcPr/>
          <w:p>
            <w:pPr>
              <w:pStyle w:val="Compact"/>
              <w:jc w:val="left"/>
            </w:pPr>
            <w:r>
              <w:t xml:space="preserve">32,000</w:t>
            </w:r>
          </w:p>
        </w:tc>
        <w:tc>
          <w:tcPr/>
          <w:p>
            <w:pPr>
              <w:pStyle w:val="Compact"/>
              <w:jc w:val="left"/>
            </w:pPr>
            <w:r>
              <w:t xml:space="preserve">32,000,000</w:t>
            </w:r>
          </w:p>
        </w:tc>
      </w:tr>
      <w:tr>
        <w:tc>
          <w:tcPr/>
          <w:p>
            <w:pPr>
              <w:pStyle w:val="Compact"/>
              <w:jc w:val="left"/>
            </w:pPr>
            <w:r>
              <w:t xml:space="preserve">4</w:t>
            </w:r>
          </w:p>
        </w:tc>
        <w:tc>
          <w:tcPr/>
          <w:p>
            <w:pPr>
              <w:pStyle w:val="Compact"/>
              <w:jc w:val="left"/>
            </w:pPr>
            <w:r>
              <w:t xml:space="preserve">Oral Rehydration Solution (ORS) Sachets – 20 g (Chemist standard)</w:t>
            </w:r>
          </w:p>
        </w:tc>
        <w:tc>
          <w:tcPr/>
          <w:p>
            <w:pPr>
              <w:pStyle w:val="Compact"/>
              <w:jc w:val="left"/>
            </w:pPr>
            <w:r>
              <w:t xml:space="preserve">DBL1903456792A4</w:t>
            </w:r>
          </w:p>
        </w:tc>
        <w:tc>
          <w:tcPr/>
          <w:p>
            <w:pPr>
              <w:pStyle w:val="Compact"/>
              <w:jc w:val="left"/>
            </w:pPr>
            <w:r>
              <w:t xml:space="preserve">Sachet</w:t>
            </w:r>
          </w:p>
        </w:tc>
        <w:tc>
          <w:tcPr/>
          <w:p>
            <w:pPr>
              <w:pStyle w:val="Compact"/>
              <w:jc w:val="left"/>
            </w:pPr>
            <w:r>
              <w:t xml:space="preserve">5,000</w:t>
            </w:r>
          </w:p>
        </w:tc>
        <w:tc>
          <w:tcPr/>
          <w:p>
            <w:pPr>
              <w:pStyle w:val="Compact"/>
              <w:jc w:val="left"/>
            </w:pPr>
            <w:r>
              <w:t xml:space="preserve">4,500</w:t>
            </w:r>
          </w:p>
        </w:tc>
        <w:tc>
          <w:tcPr/>
          <w:p>
            <w:pPr>
              <w:pStyle w:val="Compact"/>
              <w:jc w:val="left"/>
            </w:pPr>
            <w:r>
              <w:t xml:space="preserve">22,500,000</w:t>
            </w:r>
          </w:p>
        </w:tc>
      </w:tr>
      <w:tr>
        <w:tc>
          <w:tcPr/>
          <w:p>
            <w:pPr>
              <w:pStyle w:val="Compact"/>
              <w:jc w:val="left"/>
            </w:pPr>
            <w:r>
              <w:t xml:space="preserve">5</w:t>
            </w:r>
          </w:p>
        </w:tc>
        <w:tc>
          <w:tcPr/>
          <w:p>
            <w:pPr>
              <w:pStyle w:val="Compact"/>
              <w:jc w:val="left"/>
            </w:pPr>
            <w:r>
              <w:t xml:space="preserve">Medical Gloves (Nitrile, Powder-Free) – Box of 100</w:t>
            </w:r>
          </w:p>
        </w:tc>
        <w:tc>
          <w:tcPr/>
          <w:p>
            <w:pPr>
              <w:pStyle w:val="Compact"/>
              <w:jc w:val="left"/>
            </w:pPr>
            <w:r>
              <w:t xml:space="preserve">MD-2024-00891</w:t>
            </w:r>
          </w:p>
        </w:tc>
        <w:tc>
          <w:tcPr/>
          <w:p>
            <w:pPr>
              <w:pStyle w:val="Compact"/>
              <w:jc w:val="left"/>
            </w:pPr>
            <w:r>
              <w:t xml:space="preserve">Box</w:t>
            </w:r>
          </w:p>
        </w:tc>
        <w:tc>
          <w:tcPr/>
          <w:p>
            <w:pPr>
              <w:pStyle w:val="Compact"/>
              <w:jc w:val="left"/>
            </w:pPr>
            <w:r>
              <w:t xml:space="preserve">300</w:t>
            </w:r>
          </w:p>
        </w:tc>
        <w:tc>
          <w:tcPr/>
          <w:p>
            <w:pPr>
              <w:pStyle w:val="Compact"/>
              <w:jc w:val="left"/>
            </w:pPr>
            <w:r>
              <w:t xml:space="preserve">145,000</w:t>
            </w:r>
          </w:p>
        </w:tc>
        <w:tc>
          <w:tcPr/>
          <w:p>
            <w:pPr>
              <w:pStyle w:val="Compact"/>
              <w:jc w:val="left"/>
            </w:pPr>
            <w:r>
              <w:t xml:space="preserve">43,500,000</w:t>
            </w:r>
          </w:p>
        </w:tc>
      </w:tr>
      <w:tr>
        <w:tc>
          <w:tcPr/>
          <w:p>
            <w:pPr>
              <w:pStyle w:val="Compact"/>
              <w:jc w:val="left"/>
            </w:pPr>
            <w:r>
              <w:t xml:space="preserve">6</w:t>
            </w:r>
          </w:p>
        </w:tc>
        <w:tc>
          <w:tcPr/>
          <w:p>
            <w:pPr>
              <w:pStyle w:val="Compact"/>
              <w:jc w:val="left"/>
            </w:pPr>
            <w:r>
              <w:t xml:space="preserve">Disposable Syringes 5 ml with Needle (Chemist-verified sterile)</w:t>
            </w:r>
          </w:p>
        </w:tc>
        <w:tc>
          <w:tcPr/>
          <w:p>
            <w:pPr>
              <w:pStyle w:val="Compact"/>
              <w:jc w:val="left"/>
            </w:pPr>
            <w:r>
              <w:t xml:space="preserve">MD-2024-00923</w:t>
            </w:r>
          </w:p>
        </w:tc>
        <w:tc>
          <w:tcPr/>
          <w:p>
            <w:pPr>
              <w:pStyle w:val="Compact"/>
              <w:jc w:val="left"/>
            </w:pPr>
            <w:r>
              <w:t xml:space="preserve">Box</w:t>
            </w:r>
          </w:p>
        </w:tc>
        <w:tc>
          <w:tcPr/>
          <w:p>
            <w:pPr>
              <w:pStyle w:val="Compact"/>
              <w:jc w:val="left"/>
            </w:pPr>
            <w:r>
              <w:t xml:space="preserve">200</w:t>
            </w:r>
          </w:p>
        </w:tc>
        <w:tc>
          <w:tcPr/>
          <w:p>
            <w:pPr>
              <w:pStyle w:val="Compact"/>
              <w:jc w:val="left"/>
            </w:pPr>
            <w:r>
              <w:t xml:space="preserve">98,000</w:t>
            </w:r>
          </w:p>
        </w:tc>
        <w:tc>
          <w:tcPr/>
          <w:p>
            <w:pPr>
              <w:pStyle w:val="Compact"/>
              <w:jc w:val="left"/>
            </w:pPr>
            <w:r>
              <w:t xml:space="preserve">19,600,000</w:t>
            </w:r>
          </w:p>
        </w:tc>
      </w:tr>
      <w:tr>
        <w:tc>
          <w:tcPr/>
          <w:p>
            <w:pPr>
              <w:pStyle w:val="Compact"/>
              <w:jc w:val="left"/>
            </w:pPr>
            <w:r>
              <w:t xml:space="preserve">7</w:t>
            </w:r>
          </w:p>
        </w:tc>
        <w:tc>
          <w:tcPr/>
          <w:p>
            <w:pPr>
              <w:pStyle w:val="Compact"/>
              <w:jc w:val="left"/>
            </w:pPr>
            <w:r>
              <w:t xml:space="preserve">Antiseptic Solution (Povidone-Iodine 10%) 250 ml</w:t>
            </w:r>
          </w:p>
        </w:tc>
        <w:tc>
          <w:tcPr/>
          <w:p>
            <w:pPr>
              <w:pStyle w:val="Compact"/>
              <w:jc w:val="left"/>
            </w:pPr>
            <w:r>
              <w:t xml:space="preserve">DBL1903456793A5</w:t>
            </w:r>
          </w:p>
        </w:tc>
        <w:tc>
          <w:tcPr/>
          <w:p>
            <w:pPr>
              <w:pStyle w:val="Compact"/>
              <w:jc w:val="left"/>
            </w:pPr>
            <w:r>
              <w:t xml:space="preserve">Bottle</w:t>
            </w:r>
          </w:p>
        </w:tc>
        <w:tc>
          <w:tcPr/>
          <w:p>
            <w:pPr>
              <w:pStyle w:val="Compact"/>
              <w:jc w:val="left"/>
            </w:pPr>
            <w:r>
              <w:t xml:space="preserve">800</w:t>
            </w:r>
          </w:p>
        </w:tc>
        <w:tc>
          <w:tcPr/>
          <w:p>
            <w:pPr>
              <w:pStyle w:val="Compact"/>
              <w:jc w:val="left"/>
            </w:pPr>
            <w:r>
              <w:t xml:space="preserve">28,000</w:t>
            </w:r>
          </w:p>
        </w:tc>
        <w:tc>
          <w:tcPr/>
          <w:p>
            <w:pPr>
              <w:pStyle w:val="Compact"/>
              <w:jc w:val="left"/>
            </w:pPr>
            <w:r>
              <w:t xml:space="preserve">22,400,000</w:t>
            </w:r>
          </w:p>
        </w:tc>
      </w:tr>
      <w:tr>
        <w:tc>
          <w:tcPr/>
          <w:p>
            <w:pPr>
              <w:pStyle w:val="Compact"/>
              <w:jc w:val="left"/>
            </w:pPr>
            <w:r>
              <w:t xml:space="preserve">8</w:t>
            </w:r>
          </w:p>
        </w:tc>
        <w:tc>
          <w:tcPr/>
          <w:p>
            <w:pPr>
              <w:pStyle w:val="Compact"/>
              <w:jc w:val="left"/>
            </w:pPr>
            <w:r>
              <w:t xml:space="preserve">Chemist Refrigeration Unit (Pharmaceutical Grade, 200L) – 1 Unit</w:t>
            </w:r>
          </w:p>
        </w:tc>
        <w:tc>
          <w:tcPr/>
          <w:p>
            <w:pPr>
              <w:pStyle w:val="Compact"/>
              <w:jc w:val="left"/>
            </w:pPr>
            <w:r>
              <w:t xml:space="preserve">EQ-2025-00341</w:t>
            </w:r>
          </w:p>
        </w:tc>
        <w:tc>
          <w:tcPr/>
          <w:p>
            <w:pPr>
              <w:pStyle w:val="Compact"/>
              <w:jc w:val="left"/>
            </w:pPr>
            <w:r>
              <w:t xml:space="preserve">Unit</w:t>
            </w:r>
          </w:p>
        </w:tc>
        <w:tc>
          <w:tcPr/>
          <w:p>
            <w:pPr>
              <w:pStyle w:val="Compact"/>
              <w:jc w:val="left"/>
            </w:pPr>
            <w:r>
              <w:t xml:space="preserve">2</w:t>
            </w:r>
          </w:p>
        </w:tc>
        <w:tc>
          <w:tcPr/>
          <w:p>
            <w:pPr>
              <w:pStyle w:val="Compact"/>
              <w:jc w:val="left"/>
            </w:pPr>
            <w:r>
              <w:t xml:space="preserve">18,500,000</w:t>
            </w:r>
          </w:p>
        </w:tc>
        <w:tc>
          <w:tcPr/>
          <w:p>
            <w:pPr>
              <w:pStyle w:val="Compact"/>
              <w:jc w:val="left"/>
            </w:pPr>
            <w:r>
              <w:t xml:space="preserve">37,000,000</w:t>
            </w:r>
          </w:p>
        </w:tc>
      </w:tr>
      <w:tr>
        <w:tc>
          <w:tcPr>
            <w:gridSpan w:val="6"/>
          </w:tcPr>
          <w:p>
            <w:pPr>
              <w:pStyle w:val="Compact"/>
              <w:jc w:val="right"/>
            </w:pPr>
            <w:r>
              <w:t xml:space="preserve">SUBTOTAL</w:t>
            </w:r>
          </w:p>
        </w:tc>
        <w:tc>
          <w:tcPr/>
          <w:p>
            <w:pPr>
              <w:pStyle w:val="Compact"/>
              <w:jc w:val="left"/>
            </w:pPr>
            <w:r>
              <w:t xml:space="preserve">244,500,000</w:t>
            </w:r>
          </w:p>
        </w:tc>
      </w:tr>
      <w:tr>
        <w:tc>
          <w:tcPr>
            <w:gridSpan w:val="6"/>
          </w:tcPr>
          <w:p>
            <w:pPr>
              <w:pStyle w:val="Compact"/>
              <w:jc w:val="right"/>
            </w:pPr>
            <w:r>
              <w:t xml:space="preserve">VAT (PPN) 11%</w:t>
            </w:r>
          </w:p>
        </w:tc>
        <w:tc>
          <w:tcPr/>
          <w:p>
            <w:pPr>
              <w:pStyle w:val="Compact"/>
              <w:jc w:val="left"/>
            </w:pPr>
            <w:r>
              <w:t xml:space="preserve">26,895,000</w:t>
            </w:r>
          </w:p>
        </w:tc>
      </w:tr>
      <w:tr>
        <w:tc>
          <w:tcPr>
            <w:gridSpan w:val="6"/>
          </w:tcPr>
          <w:p>
            <w:pPr>
              <w:pStyle w:val="Compact"/>
              <w:jc w:val="right"/>
            </w:pPr>
            <w:r>
              <w:t xml:space="preserve">GRAND TOTAL (IDR)</w:t>
            </w:r>
          </w:p>
        </w:tc>
        <w:tc>
          <w:tcPr/>
          <w:p>
            <w:pPr>
              <w:pStyle w:val="Compact"/>
              <w:jc w:val="left"/>
            </w:pPr>
            <w:r>
              <w:t xml:space="preserve">271,395,000</w:t>
            </w:r>
          </w:p>
        </w:tc>
      </w:tr>
    </w:tbl>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is issued by PT. Nusantara Medika Supply Co., Ltd. and is directed to the licensed</w:t>
      </w:r>
      <w:r>
        <w:t xml:space="preserve"> </w:t>
      </w:r>
      <w:r>
        <w:rPr>
          <w:bCs/>
          <w:b/>
        </w:rPr>
        <w:t xml:space="preserve">Chemist</w:t>
      </w:r>
      <w:r>
        <w:t xml:space="preserve"> </w:t>
      </w:r>
      <w:r>
        <w:t xml:space="preserve">supplier identified above for the procurement of pharmaceutical products, medical consumables, and equipment for distribution across the</w:t>
      </w:r>
      <w:r>
        <w:t xml:space="preserve"> </w:t>
      </w:r>
      <w:r>
        <w:rPr>
          <w:bCs/>
          <w:b/>
        </w:rPr>
        <w:t xml:space="preserve">Indonesia Jakarta</w:t>
      </w:r>
      <w:r>
        <w:t xml:space="preserve"> </w:t>
      </w:r>
      <w:r>
        <w:t xml:space="preserve">metropolitan area.</w:t>
      </w:r>
    </w:p>
    <w:p>
      <w:pPr>
        <w:numPr>
          <w:ilvl w:val="0"/>
          <w:numId w:val="1001"/>
        </w:numPr>
        <w:pStyle w:val="Compact"/>
      </w:pPr>
      <w:r>
        <w:t xml:space="preserve">All pharmaceutical items listed in this Purchase Order must comply with the regulations set forth by the</w:t>
      </w:r>
      <w:r>
        <w:t xml:space="preserve"> </w:t>
      </w:r>
      <w:r>
        <w:rPr>
          <w:iCs/>
          <w:i/>
        </w:rPr>
        <w:t xml:space="preserve">Badan Pengawas Obat dan Makanan</w:t>
      </w:r>
      <w:r>
        <w:t xml:space="preserve"> </w:t>
      </w:r>
      <w:r>
        <w:t xml:space="preserve">(BPOM) of the Republic of Indonesia. The Chemist supplier warrants that all products carry valid BPOM registration numbers and are manufactured in Good Manufacturing Practice (GMP)-certified facilities.</w:t>
      </w:r>
    </w:p>
    <w:p>
      <w:pPr>
        <w:numPr>
          <w:ilvl w:val="0"/>
          <w:numId w:val="1001"/>
        </w:numPr>
        <w:pStyle w:val="Compact"/>
      </w:pPr>
      <w:r>
        <w:t xml:space="preserve">Delivery shall be made to the buyer's central warehouse located at Jl. Jend. Sudirman Kav. 52-53, SCBD District, Jakarta Selatan, Indonesia Jakarta 12190. The Chemist supplier is responsible for all transportation, cold-chain maintenance (where applicable), and insurance of goods until delivery is confirmed by the buyer's receiving officer.</w:t>
      </w:r>
    </w:p>
    <w:p>
      <w:pPr>
        <w:numPr>
          <w:ilvl w:val="0"/>
          <w:numId w:val="1001"/>
        </w:numPr>
        <w:pStyle w:val="Compact"/>
      </w:pPr>
      <w:r>
        <w:t xml:space="preserve">The Chemist supplier must provide a complete delivery note, invoice, and certificate of analysis (CoA) for each pharmaceutical batch upon delivery. All documents must be in Bahasa Indonesia and English.</w:t>
      </w:r>
    </w:p>
    <w:p>
      <w:pPr>
        <w:numPr>
          <w:ilvl w:val="0"/>
          <w:numId w:val="1001"/>
        </w:numPr>
        <w:pStyle w:val="Compact"/>
      </w:pPr>
      <w:r>
        <w:t xml:space="preserve">Payment shall be made via bank transfer to the Chemist supplier's designated account within thirty (30) calendar days from the date of confirmed receipt and acceptance of goods. The buyer's bank is Bank Mandiri, Jakarta branch, Indonesia Jakarta.</w:t>
      </w:r>
    </w:p>
    <w:p>
      <w:pPr>
        <w:numPr>
          <w:ilvl w:val="0"/>
          <w:numId w:val="1001"/>
        </w:numPr>
        <w:pStyle w:val="Compact"/>
      </w:pPr>
      <w:r>
        <w:t xml:space="preserve">The Chemist supplier guarantees that all products are within their shelf life (minimum 12 months remaining at the time of delivery) and are stored and transported in accordance with Indonesian pharmaceutical storage regulations.</w:t>
      </w:r>
    </w:p>
    <w:p>
      <w:pPr>
        <w:numPr>
          <w:ilvl w:val="0"/>
          <w:numId w:val="1001"/>
        </w:numPr>
        <w:pStyle w:val="Compact"/>
      </w:pPr>
      <w:r>
        <w:t xml:space="preserve">Any discrepancy in quantity, quality, or documentation must be reported by the buyer within three (3) business days of delivery. The Chemist supplier shall replace defective or non-conforming items at no additional cost within five (5) business days.</w:t>
      </w:r>
    </w:p>
    <w:p>
      <w:pPr>
        <w:numPr>
          <w:ilvl w:val="0"/>
          <w:numId w:val="1001"/>
        </w:numPr>
        <w:pStyle w:val="Compact"/>
      </w:pPr>
      <w:r>
        <w:t xml:space="preserve">This Purchase Order is governed by the laws of the Republic of Indonesia. Any disputes arising from this Purchase Order shall be resolved through the Commercial Court (Pengadilan Niaga) in Jakarta, Indonesia Jakarta.</w:t>
      </w:r>
    </w:p>
    <w:p>
      <w:pPr>
        <w:numPr>
          <w:ilvl w:val="0"/>
          <w:numId w:val="1001"/>
        </w:numPr>
        <w:pStyle w:val="Compact"/>
      </w:pPr>
      <w:r>
        <w:t xml:space="preserve">The Chemist supplier shall maintain all necessary business licenses, pharmacy operating permits (SIUP Apotek), and health facility permits (SIP) throughout the duration of this Purchase Order and any subsequent orders.</w:t>
      </w:r>
    </w:p>
    <w:p>
      <w:pPr>
        <w:numPr>
          <w:ilvl w:val="0"/>
          <w:numId w:val="1001"/>
        </w:numPr>
        <w:pStyle w:val="Compact"/>
      </w:pPr>
      <w:r>
        <w:t xml:space="preserve">This Purchase Order is valid for a period of fourteen (14) days from the date of issue. If the Chemist supplier does not confirm acceptance in writing within this period, this Purchase Order shall be considered void.</w:t>
      </w:r>
    </w:p>
    <w:p>
      <w:pPr>
        <w:pStyle w:val="FirstParagraph"/>
      </w:pPr>
      <w:r>
        <w:t xml:space="preserve">NOTES AND SPECIAL INSTRUCTIONS</w:t>
      </w:r>
    </w:p>
    <w:p>
      <w:pPr>
        <w:pStyle w:val="BodyText"/>
      </w:pPr>
      <w:r>
        <w:t xml:space="preserve">1. All cold-chain pharmaceutical items (Items 1, 3, and 8) must be transported in temperature-controlled vehicles maintained between 2°C and 8°C, in compliance with BPOM cold-chain guidelines for the Indonesia Jakarta region.</w:t>
      </w:r>
    </w:p>
    <w:p>
      <w:pPr>
        <w:pStyle w:val="BodyText"/>
      </w:pPr>
      <w:r>
        <w:t xml:space="preserve">2. The Chemist supplier must coordinate delivery scheduling with the buyer's logistics team at least 48 hours prior to the scheduled delivery date. Delivery windows are 08:00–16:00 WIB, Monday through Friday.</w:t>
      </w:r>
    </w:p>
    <w:p>
      <w:pPr>
        <w:pStyle w:val="BodyText"/>
      </w:pPr>
      <w:r>
        <w:t xml:space="preserve">3. The Chemist supplier is required to provide a one-year warranty on the pharmaceutical refrigeration units (Item 8), including annual maintenance service visits in Indonesia Jakarta.</w:t>
      </w:r>
    </w:p>
    <w:p>
      <w:pPr>
        <w:pStyle w:val="BodyText"/>
      </w:pPr>
      <w:r>
        <w:t xml:space="preserve">4. All packaging must bear the Chemist supplier's name, BPOM registration number, batch number, manufacture date, and expiry date in clear, legible print.</w:t>
      </w:r>
    </w:p>
    <w:p>
      <w:pPr>
        <w:pStyle w:val="BodyText"/>
      </w:pPr>
      <w:r>
        <w:rPr>
          <w:bCs/>
          <w:b/>
        </w:rPr>
        <w:t xml:space="preserve">Prepared by (Buyer):</w:t>
      </w:r>
    </w:p>
    <w:p>
      <w:pPr>
        <w:pStyle w:val="BodyText"/>
      </w:pPr>
      <w:r>
        <w:t xml:space="preserve">Mrs. Ratna Dewi Santoso</w:t>
      </w:r>
    </w:p>
    <w:p>
      <w:pPr>
        <w:pStyle w:val="BodyText"/>
      </w:pPr>
      <w:r>
        <w:t xml:space="preserve">Procurement Manager</w:t>
      </w:r>
    </w:p>
    <w:p>
      <w:pPr>
        <w:pStyle w:val="BodyText"/>
      </w:pPr>
      <w:r>
        <w:t xml:space="preserve">PT. Nusantara Medika Supply Co., Ltd.</w:t>
      </w:r>
    </w:p>
    <w:p>
      <w:pPr>
        <w:pStyle w:val="BodyText"/>
      </w:pPr>
      <w:r>
        <w:t xml:space="preserve">Date: 14 June 2025</w:t>
      </w:r>
    </w:p>
    <w:p>
      <w:pPr>
        <w:pStyle w:val="BodyText"/>
      </w:pPr>
      <w:r>
        <w:rPr>
          <w:bCs/>
          <w:b/>
        </w:rPr>
        <w:t xml:space="preserve">Accepted by (Chemist Supplier):</w:t>
      </w:r>
    </w:p>
    <w:p>
      <w:pPr>
        <w:pStyle w:val="BodyText"/>
      </w:pPr>
      <w:r>
        <w:t xml:space="preserve">Dr. Pharm. Andi Wijaya, M.Farm.</w:t>
      </w:r>
    </w:p>
    <w:p>
      <w:pPr>
        <w:pStyle w:val="BodyText"/>
      </w:pPr>
      <w:r>
        <w:t xml:space="preserve">Head of Chemist Operations</w:t>
      </w:r>
    </w:p>
    <w:p>
      <w:pPr>
        <w:pStyle w:val="BodyText"/>
      </w:pPr>
      <w:r>
        <w:t xml:space="preserve">PT. Apotek Sehat Nusantara</w:t>
      </w:r>
    </w:p>
    <w:p>
      <w:pPr>
        <w:pStyle w:val="BodyText"/>
      </w:pPr>
      <w:r>
        <w:t xml:space="preserve">Date: _______________</w:t>
      </w:r>
    </w:p>
    <w:p>
      <w:pPr>
        <w:pStyle w:val="BodyText"/>
      </w:pPr>
      <w:r>
        <w:t xml:space="preserve">This Purchase Order document was generated for use in Indonesia Jakarta and is subject to all applicable Indonesian commercial and pharmaceutical regulations. Document Reference: PO/JKT/2025/00487. For inquiries, contact the Procurement Department at PT. Nusantara Medika Supply Co., Ltd., Jakarta Selatan, Indonesia Jakarta.</w:t>
      </w:r>
    </w:p>
    <w:p>
      <w:pPr>
        <w:pStyle w:val="BodyText"/>
      </w:pPr>
      <w:r>
        <w:t xml:space="preserve">© 2025 PT. Nusantara Medika Supply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Indonesia Jakarta</dc:title>
  <dc:creator/>
  <dc:language>en</dc:language>
  <cp:keywords/>
  <dcterms:created xsi:type="dcterms:W3CDTF">2026-10-10T04:08:16Z</dcterms:created>
  <dcterms:modified xsi:type="dcterms:W3CDTF">2026-10-10T04:08:16Z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