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Chemist &amp; Pharmaceutical Supply Procurement — Iran Tehran</w:t>
      </w:r>
    </w:p>
    <w:bookmarkEnd w:id="20"/>
    <w:p>
      <w:pPr>
        <w:pStyle w:val="BodyText"/>
      </w:pPr>
      <w:r>
        <w:t xml:space="preserve">Purchase Order No.:</w:t>
      </w:r>
    </w:p>
    <w:p>
      <w:pPr>
        <w:pStyle w:val="BodyText"/>
      </w:pPr>
      <w:r>
        <w:t xml:space="preserve">PO-IR-THR-2025-04871</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Issuing Entity:</w:t>
      </w:r>
    </w:p>
    <w:p>
      <w:pPr>
        <w:pStyle w:val="BodyText"/>
      </w:pPr>
      <w:r>
        <w:t xml:space="preserve">Tehran Central Chemist Distribution Co.</w:t>
      </w:r>
    </w:p>
    <w:p>
      <w:pPr>
        <w:pStyle w:val="BodyText"/>
      </w:pPr>
      <w:r>
        <w:t xml:space="preserve">Address:</w:t>
      </w:r>
    </w:p>
    <w:p>
      <w:pPr>
        <w:pStyle w:val="BodyText"/>
      </w:pPr>
      <w:r>
        <w:t xml:space="preserve">142 Valiasr Street, Enghelab Square,</w:t>
      </w:r>
      <w:r>
        <w:br/>
      </w:r>
      <w:r>
        <w:t xml:space="preserve">Tehran, Iran — Postal Code 11375-4421</w:t>
      </w:r>
    </w:p>
    <w:p>
      <w:pPr>
        <w:pStyle w:val="BodyText"/>
      </w:pPr>
      <w:r>
        <w:t xml:space="preserve">Contact:</w:t>
      </w:r>
    </w:p>
    <w:p>
      <w:pPr>
        <w:pStyle w:val="BodyText"/>
      </w:pPr>
      <w:r>
        <w:t xml:space="preserve">Phone: +98-21-8876-5432</w:t>
      </w:r>
      <w:r>
        <w:br/>
      </w:r>
      <w:r>
        <w:t xml:space="preserve">Email: procurement@tehranchemist.ir</w:t>
      </w:r>
    </w:p>
    <w:p>
      <w:pPr>
        <w:pStyle w:val="BodyText"/>
      </w:pPr>
      <w:r>
        <w:t xml:space="preserve">Supplier / Chemist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Chemist Company Name</w:t>
            </w:r>
          </w:p>
        </w:tc>
        <w:tc>
          <w:tcPr/>
          <w:p>
            <w:pPr>
              <w:pStyle w:val="Compact"/>
              <w:jc w:val="left"/>
            </w:pPr>
            <w:r>
              <w:t xml:space="preserve">Persian Pharma Chemist &amp; Laboratory Supplies Ltd.</w:t>
            </w:r>
          </w:p>
        </w:tc>
      </w:tr>
      <w:tr>
        <w:tc>
          <w:tcPr/>
          <w:p>
            <w:pPr>
              <w:pStyle w:val="Compact"/>
              <w:jc w:val="left"/>
            </w:pPr>
            <w:r>
              <w:rPr>
                <w:bCs/>
                <w:b/>
              </w:rPr>
              <w:t xml:space="preserve">Registration No.</w:t>
            </w:r>
          </w:p>
        </w:tc>
        <w:tc>
          <w:tcPr/>
          <w:p>
            <w:pPr>
              <w:pStyle w:val="Compact"/>
              <w:jc w:val="left"/>
            </w:pPr>
            <w:r>
              <w:t xml:space="preserve">IR-TEH-CHM-2019-00342 (Registered with Tehran Province Chemist Regulatory Board)</w:t>
            </w:r>
          </w:p>
        </w:tc>
      </w:tr>
      <w:tr>
        <w:tc>
          <w:tcPr/>
          <w:p>
            <w:pPr>
              <w:pStyle w:val="Compact"/>
              <w:jc w:val="left"/>
            </w:pPr>
            <w:r>
              <w:rPr>
                <w:bCs/>
                <w:b/>
              </w:rPr>
              <w:t xml:space="preserve">Address</w:t>
            </w:r>
          </w:p>
        </w:tc>
        <w:tc>
          <w:tcPr/>
          <w:p>
            <w:pPr>
              <w:pStyle w:val="Compact"/>
              <w:jc w:val="left"/>
            </w:pPr>
            <w:r>
              <w:t xml:space="preserve">78 Ferdowsi Avenue, Jomhouri District, Tehran, Iran — Postal Code 14186-3310</w:t>
            </w:r>
          </w:p>
        </w:tc>
      </w:tr>
      <w:tr>
        <w:tc>
          <w:tcPr/>
          <w:p>
            <w:pPr>
              <w:pStyle w:val="Compact"/>
              <w:jc w:val="left"/>
            </w:pPr>
            <w:r>
              <w:rPr>
                <w:bCs/>
                <w:b/>
              </w:rPr>
              <w:t xml:space="preserve">Chemist License No.</w:t>
            </w:r>
          </w:p>
        </w:tc>
        <w:tc>
          <w:tcPr/>
          <w:p>
            <w:pPr>
              <w:pStyle w:val="Compact"/>
              <w:jc w:val="left"/>
            </w:pPr>
            <w:r>
              <w:t xml:space="preserve">TL-2020-78451 (Issued by the Ministry of Health and Medical Education, Iran)</w:t>
            </w:r>
          </w:p>
        </w:tc>
      </w:tr>
      <w:tr>
        <w:tc>
          <w:tcPr/>
          <w:p>
            <w:pPr>
              <w:pStyle w:val="Compact"/>
              <w:jc w:val="left"/>
            </w:pPr>
            <w:r>
              <w:rPr>
                <w:bCs/>
                <w:b/>
              </w:rPr>
              <w:t xml:space="preserve">Contact Person</w:t>
            </w:r>
          </w:p>
        </w:tc>
        <w:tc>
          <w:tcPr/>
          <w:p>
            <w:pPr>
              <w:pStyle w:val="Compact"/>
              <w:jc w:val="left"/>
            </w:pPr>
            <w:r>
              <w:t xml:space="preserve">Dr. Farhad Mohammadi, Chief Chemist &amp; Operations Director</w:t>
            </w:r>
          </w:p>
        </w:tc>
      </w:tr>
      <w:tr>
        <w:tc>
          <w:tcPr/>
          <w:p>
            <w:pPr>
              <w:pStyle w:val="Compact"/>
              <w:jc w:val="left"/>
            </w:pPr>
            <w:r>
              <w:rPr>
                <w:bCs/>
                <w:b/>
              </w:rPr>
              <w:t xml:space="preserve">Phone / Email</w:t>
            </w:r>
          </w:p>
        </w:tc>
        <w:tc>
          <w:tcPr/>
          <w:p>
            <w:pPr>
              <w:pStyle w:val="Compact"/>
              <w:jc w:val="left"/>
            </w:pPr>
            <w:r>
              <w:t xml:space="preserve">+98-21-4455-6677 / sales@persianpharmachemist.ir</w:t>
            </w:r>
          </w:p>
        </w:tc>
      </w:tr>
    </w:tbl>
    <w:p>
      <w:pPr>
        <w:pStyle w:val="BodyText"/>
      </w:pPr>
      <w:r>
        <w:t xml:space="preserve">Order Items — Chemist Products and Laboratory Reagents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Sodium Chloride, USP Grade, 500g (Chemist reagent)</w:t>
            </w:r>
          </w:p>
        </w:tc>
        <w:tc>
          <w:tcPr/>
          <w:p>
            <w:pPr>
              <w:pStyle w:val="Compact"/>
              <w:jc w:val="left"/>
            </w:pPr>
            <w:r>
              <w:t xml:space="preserve">Lab Reagent</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Amoxicillin 500mg Capsules, 24-count blister (Chemist pharmaceutical)</w:t>
            </w:r>
          </w:p>
        </w:tc>
        <w:tc>
          <w:tcPr/>
          <w:p>
            <w:pPr>
              <w:pStyle w:val="Compact"/>
              <w:jc w:val="left"/>
            </w:pPr>
            <w:r>
              <w:t xml:space="preserve">Pharmaceutical</w:t>
            </w:r>
          </w:p>
        </w:tc>
        <w:tc>
          <w:tcPr/>
          <w:p>
            <w:pPr>
              <w:pStyle w:val="Compact"/>
              <w:jc w:val="left"/>
            </w:pPr>
            <w:r>
              <w:t xml:space="preserve">5,000</w:t>
            </w:r>
          </w:p>
        </w:tc>
        <w:tc>
          <w:tcPr/>
          <w:p>
            <w:pPr>
              <w:pStyle w:val="Compact"/>
              <w:jc w:val="left"/>
            </w:pPr>
            <w:r>
              <w:t xml:space="preserve">blister</w:t>
            </w:r>
          </w:p>
        </w:tc>
        <w:tc>
          <w:tcPr/>
          <w:p>
            <w:pPr>
              <w:pStyle w:val="Compact"/>
              <w:jc w:val="left"/>
            </w:pPr>
            <w:r>
              <w:t xml:space="preserve">420,000</w:t>
            </w:r>
          </w:p>
        </w:tc>
        <w:tc>
          <w:tcPr/>
          <w:p>
            <w:pPr>
              <w:pStyle w:val="Compact"/>
              <w:jc w:val="left"/>
            </w:pPr>
            <w:r>
              <w:t xml:space="preserve">2,100,000,000</w:t>
            </w:r>
          </w:p>
        </w:tc>
      </w:tr>
      <w:tr>
        <w:tc>
          <w:tcPr/>
          <w:p>
            <w:pPr>
              <w:pStyle w:val="Compact"/>
              <w:jc w:val="left"/>
            </w:pPr>
            <w:r>
              <w:t xml:space="preserve">03</w:t>
            </w:r>
          </w:p>
        </w:tc>
        <w:tc>
          <w:tcPr/>
          <w:p>
            <w:pPr>
              <w:pStyle w:val="Compact"/>
              <w:jc w:val="left"/>
            </w:pPr>
            <w:r>
              <w:t xml:space="preserve">Paracetamol 500mg Tablets, 100-count bottle (Chemist OTC product)</w:t>
            </w:r>
          </w:p>
        </w:tc>
        <w:tc>
          <w:tcPr/>
          <w:p>
            <w:pPr>
              <w:pStyle w:val="Compact"/>
              <w:jc w:val="left"/>
            </w:pPr>
            <w:r>
              <w:t xml:space="preserve">Pharmaceutical</w:t>
            </w:r>
          </w:p>
        </w:tc>
        <w:tc>
          <w:tcPr/>
          <w:p>
            <w:pPr>
              <w:pStyle w:val="Compact"/>
              <w:jc w:val="left"/>
            </w:pPr>
            <w:r>
              <w:t xml:space="preserve">3,000</w:t>
            </w:r>
          </w:p>
        </w:tc>
        <w:tc>
          <w:tcPr/>
          <w:p>
            <w:pPr>
              <w:pStyle w:val="Compact"/>
              <w:jc w:val="left"/>
            </w:pPr>
            <w:r>
              <w:t xml:space="preserve">bottles</w:t>
            </w:r>
          </w:p>
        </w:tc>
        <w:tc>
          <w:tcPr/>
          <w:p>
            <w:pPr>
              <w:pStyle w:val="Compact"/>
              <w:jc w:val="left"/>
            </w:pPr>
            <w:r>
              <w:t xml:space="preserve">310,000</w:t>
            </w:r>
          </w:p>
        </w:tc>
        <w:tc>
          <w:tcPr/>
          <w:p>
            <w:pPr>
              <w:pStyle w:val="Compact"/>
              <w:jc w:val="left"/>
            </w:pPr>
            <w:r>
              <w:t xml:space="preserve">930,000,000</w:t>
            </w:r>
          </w:p>
        </w:tc>
      </w:tr>
      <w:tr>
        <w:tc>
          <w:tcPr/>
          <w:p>
            <w:pPr>
              <w:pStyle w:val="Compact"/>
              <w:jc w:val="left"/>
            </w:pPr>
            <w:r>
              <w:t xml:space="preserve">04</w:t>
            </w:r>
          </w:p>
        </w:tc>
        <w:tc>
          <w:tcPr/>
          <w:p>
            <w:pPr>
              <w:pStyle w:val="Compact"/>
              <w:jc w:val="left"/>
            </w:pPr>
            <w:r>
              <w:t xml:space="preserve">Hydrogen Peroxide 3%, 1L bottle (Chemist antiseptic)</w:t>
            </w:r>
          </w:p>
        </w:tc>
        <w:tc>
          <w:tcPr/>
          <w:p>
            <w:pPr>
              <w:pStyle w:val="Compact"/>
              <w:jc w:val="left"/>
            </w:pPr>
            <w:r>
              <w:t xml:space="preserve">Antiseptic</w:t>
            </w:r>
          </w:p>
        </w:tc>
        <w:tc>
          <w:tcPr/>
          <w:p>
            <w:pPr>
              <w:pStyle w:val="Compact"/>
              <w:jc w:val="left"/>
            </w:pPr>
            <w:r>
              <w:t xml:space="preserve">800</w:t>
            </w:r>
          </w:p>
        </w:tc>
        <w:tc>
          <w:tcPr/>
          <w:p>
            <w:pPr>
              <w:pStyle w:val="Compact"/>
              <w:jc w:val="left"/>
            </w:pPr>
            <w:r>
              <w:t xml:space="preserve">bottles</w:t>
            </w:r>
          </w:p>
        </w:tc>
        <w:tc>
          <w:tcPr/>
          <w:p>
            <w:pPr>
              <w:pStyle w:val="Compact"/>
              <w:jc w:val="left"/>
            </w:pPr>
            <w:r>
              <w:t xml:space="preserve">275,000</w:t>
            </w:r>
          </w:p>
        </w:tc>
        <w:tc>
          <w:tcPr/>
          <w:p>
            <w:pPr>
              <w:pStyle w:val="Compact"/>
              <w:jc w:val="left"/>
            </w:pPr>
            <w:r>
              <w:t xml:space="preserve">220,000,000</w:t>
            </w:r>
          </w:p>
        </w:tc>
      </w:tr>
      <w:tr>
        <w:tc>
          <w:tcPr/>
          <w:p>
            <w:pPr>
              <w:pStyle w:val="Compact"/>
              <w:jc w:val="left"/>
            </w:pPr>
            <w:r>
              <w:t xml:space="preserve">05</w:t>
            </w:r>
          </w:p>
        </w:tc>
        <w:tc>
          <w:tcPr/>
          <w:p>
            <w:pPr>
              <w:pStyle w:val="Compact"/>
              <w:jc w:val="left"/>
            </w:pPr>
            <w:r>
              <w:t xml:space="preserve">Sterile Gauze Pads 10x10cm, 100-pack (Chemist wound care)</w:t>
            </w:r>
          </w:p>
        </w:tc>
        <w:tc>
          <w:tcPr/>
          <w:p>
            <w:pPr>
              <w:pStyle w:val="Compact"/>
              <w:jc w:val="left"/>
            </w:pPr>
            <w:r>
              <w:t xml:space="preserve">Wound Care</w:t>
            </w:r>
          </w:p>
        </w:tc>
        <w:tc>
          <w:tcPr/>
          <w:p>
            <w:pPr>
              <w:pStyle w:val="Compact"/>
              <w:jc w:val="left"/>
            </w:pPr>
            <w:r>
              <w:t xml:space="preserve">1,200</w:t>
            </w:r>
          </w:p>
        </w:tc>
        <w:tc>
          <w:tcPr/>
          <w:p>
            <w:pPr>
              <w:pStyle w:val="Compact"/>
              <w:jc w:val="left"/>
            </w:pPr>
            <w:r>
              <w:t xml:space="preserve">packs</w:t>
            </w:r>
          </w:p>
        </w:tc>
        <w:tc>
          <w:tcPr/>
          <w:p>
            <w:pPr>
              <w:pStyle w:val="Compact"/>
              <w:jc w:val="left"/>
            </w:pPr>
            <w:r>
              <w:t xml:space="preserve">195,000</w:t>
            </w:r>
          </w:p>
        </w:tc>
        <w:tc>
          <w:tcPr/>
          <w:p>
            <w:pPr>
              <w:pStyle w:val="Compact"/>
              <w:jc w:val="left"/>
            </w:pPr>
            <w:r>
              <w:t xml:space="preserve">234,000,000</w:t>
            </w:r>
          </w:p>
        </w:tc>
      </w:tr>
      <w:tr>
        <w:tc>
          <w:tcPr/>
          <w:p>
            <w:pPr>
              <w:pStyle w:val="Compact"/>
              <w:jc w:val="left"/>
            </w:pPr>
            <w:r>
              <w:t xml:space="preserve">06</w:t>
            </w:r>
          </w:p>
        </w:tc>
        <w:tc>
          <w:tcPr/>
          <w:p>
            <w:pPr>
              <w:pStyle w:val="Compact"/>
              <w:jc w:val="left"/>
            </w:pPr>
            <w:r>
              <w:t xml:space="preserve">Acetone, Analytical Grade, 1L (Chemist solvent)</w:t>
            </w:r>
          </w:p>
        </w:tc>
        <w:tc>
          <w:tcPr/>
          <w:p>
            <w:pPr>
              <w:pStyle w:val="Compact"/>
              <w:jc w:val="left"/>
            </w:pPr>
            <w:r>
              <w:t xml:space="preserve">Lab Solvent</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680,000</w:t>
            </w:r>
          </w:p>
        </w:tc>
        <w:tc>
          <w:tcPr/>
          <w:p>
            <w:pPr>
              <w:pStyle w:val="Compact"/>
              <w:jc w:val="left"/>
            </w:pPr>
            <w:r>
              <w:t xml:space="preserve">102,000,000</w:t>
            </w:r>
          </w:p>
        </w:tc>
      </w:tr>
      <w:tr>
        <w:tc>
          <w:tcPr/>
          <w:p>
            <w:pPr>
              <w:pStyle w:val="Compact"/>
              <w:jc w:val="left"/>
            </w:pPr>
            <w:r>
              <w:t xml:space="preserve">07</w:t>
            </w:r>
          </w:p>
        </w:tc>
        <w:tc>
          <w:tcPr/>
          <w:p>
            <w:pPr>
              <w:pStyle w:val="Compact"/>
              <w:jc w:val="left"/>
            </w:pPr>
            <w:r>
              <w:t xml:space="preserve">Disposable Nitrile Gloves, Medium, 100-box (Chemist PPE)</w:t>
            </w:r>
          </w:p>
        </w:tc>
        <w:tc>
          <w:tcPr/>
          <w:p>
            <w:pPr>
              <w:pStyle w:val="Compact"/>
              <w:jc w:val="left"/>
            </w:pPr>
            <w:r>
              <w:t xml:space="preserve">Personal Protective</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340,000</w:t>
            </w:r>
          </w:p>
        </w:tc>
        <w:tc>
          <w:tcPr/>
          <w:p>
            <w:pPr>
              <w:pStyle w:val="Compact"/>
              <w:jc w:val="left"/>
            </w:pPr>
            <w:r>
              <w:t xml:space="preserve">136,000,000</w:t>
            </w:r>
          </w:p>
        </w:tc>
      </w:tr>
      <w:tr>
        <w:tc>
          <w:tcPr/>
          <w:p>
            <w:pPr>
              <w:pStyle w:val="Compact"/>
              <w:jc w:val="left"/>
            </w:pPr>
            <w:r>
              <w:t xml:space="preserve">08</w:t>
            </w:r>
          </w:p>
        </w:tc>
        <w:tc>
          <w:tcPr/>
          <w:p>
            <w:pPr>
              <w:pStyle w:val="Compact"/>
              <w:jc w:val="left"/>
            </w:pPr>
            <w:r>
              <w:t xml:space="preserve">Metronidazole 400mg Tablets, 20-count strip (Chemist antibiotic)</w:t>
            </w:r>
          </w:p>
        </w:tc>
        <w:tc>
          <w:tcPr/>
          <w:p>
            <w:pPr>
              <w:pStyle w:val="Compact"/>
              <w:jc w:val="left"/>
            </w:pPr>
            <w:r>
              <w:t xml:space="preserve">Pharmaceutical</w:t>
            </w:r>
          </w:p>
        </w:tc>
        <w:tc>
          <w:tcPr/>
          <w:p>
            <w:pPr>
              <w:pStyle w:val="Compact"/>
              <w:jc w:val="left"/>
            </w:pPr>
            <w:r>
              <w:t xml:space="preserve">2,500</w:t>
            </w:r>
          </w:p>
        </w:tc>
        <w:tc>
          <w:tcPr/>
          <w:p>
            <w:pPr>
              <w:pStyle w:val="Compact"/>
              <w:jc w:val="left"/>
            </w:pPr>
            <w:r>
              <w:t xml:space="preserve">strips</w:t>
            </w:r>
          </w:p>
        </w:tc>
        <w:tc>
          <w:tcPr/>
          <w:p>
            <w:pPr>
              <w:pStyle w:val="Compact"/>
              <w:jc w:val="left"/>
            </w:pPr>
            <w:r>
              <w:t xml:space="preserve">285,000</w:t>
            </w:r>
          </w:p>
        </w:tc>
        <w:tc>
          <w:tcPr/>
          <w:p>
            <w:pPr>
              <w:pStyle w:val="Compact"/>
              <w:jc w:val="left"/>
            </w:pPr>
            <w:r>
              <w:t xml:space="preserve">712,500,000</w:t>
            </w:r>
          </w:p>
        </w:tc>
      </w:tr>
      <w:tr>
        <w:tc>
          <w:tcPr>
            <w:gridSpan w:val="6"/>
          </w:tcPr>
          <w:p>
            <w:pPr>
              <w:pStyle w:val="Compact"/>
              <w:jc w:val="right"/>
            </w:pPr>
            <w:r>
              <w:t xml:space="preserve">Subtotal (IRR)</w:t>
            </w:r>
          </w:p>
        </w:tc>
        <w:tc>
          <w:tcPr/>
          <w:p>
            <w:pPr>
              <w:pStyle w:val="Compact"/>
              <w:jc w:val="left"/>
            </w:pPr>
            <w:r>
              <w:t xml:space="preserve">4,471,500,000</w:t>
            </w:r>
          </w:p>
        </w:tc>
      </w:tr>
      <w:tr>
        <w:tc>
          <w:tcPr>
            <w:gridSpan w:val="6"/>
          </w:tcPr>
          <w:p>
            <w:pPr>
              <w:pStyle w:val="Compact"/>
              <w:jc w:val="right"/>
            </w:pPr>
            <w:r>
              <w:t xml:space="preserve">VAT (9% — Iran National Tax)</w:t>
            </w:r>
          </w:p>
        </w:tc>
        <w:tc>
          <w:tcPr/>
          <w:p>
            <w:pPr>
              <w:pStyle w:val="Compact"/>
              <w:jc w:val="left"/>
            </w:pPr>
            <w:r>
              <w:t xml:space="preserve">402,435,000</w:t>
            </w:r>
          </w:p>
        </w:tc>
      </w:tr>
      <w:tr>
        <w:tc>
          <w:tcPr>
            <w:gridSpan w:val="6"/>
          </w:tcPr>
          <w:p>
            <w:pPr>
              <w:pStyle w:val="Compact"/>
              <w:jc w:val="right"/>
            </w:pPr>
            <w:r>
              <w:t xml:space="preserve">Delivery &amp; Handling (Tehran Metro Area)</w:t>
            </w:r>
          </w:p>
        </w:tc>
        <w:tc>
          <w:tcPr/>
          <w:p>
            <w:pPr>
              <w:pStyle w:val="Compact"/>
              <w:jc w:val="left"/>
            </w:pPr>
            <w:r>
              <w:t xml:space="preserve">45,000,000</w:t>
            </w:r>
          </w:p>
        </w:tc>
      </w:tr>
      <w:tr>
        <w:tc>
          <w:tcPr>
            <w:gridSpan w:val="6"/>
          </w:tcPr>
          <w:p>
            <w:pPr>
              <w:pStyle w:val="Compact"/>
              <w:jc w:val="right"/>
            </w:pPr>
            <w:r>
              <w:t xml:space="preserve">GRAND TOTAL (IRR)</w:t>
            </w:r>
          </w:p>
        </w:tc>
        <w:tc>
          <w:tcPr/>
          <w:p>
            <w:pPr>
              <w:pStyle w:val="Compact"/>
              <w:jc w:val="left"/>
            </w:pPr>
            <w:r>
              <w:t xml:space="preserve">4,918,935,000</w:t>
            </w:r>
          </w:p>
        </w:tc>
      </w:tr>
    </w:tbl>
    <w:p>
      <w:pPr>
        <w:pStyle w:val="BodyText"/>
      </w:pPr>
      <w:r>
        <w:t xml:space="preserve">Terms and Conditions</w:t>
      </w:r>
    </w:p>
    <w:p>
      <w:pPr>
        <w:numPr>
          <w:ilvl w:val="0"/>
          <w:numId w:val="1001"/>
        </w:numPr>
        <w:pStyle w:val="Compact"/>
      </w:pPr>
      <w:r>
        <w:t xml:space="preserve">This Purchase Order is issued by Tehran Central Chemist Distribution Co. and is binding upon acceptance by the named Chemist supplier. All transactions are governed by the commercial laws of the Islamic Republic of Iran and the specific regulations of the Tehran Province Chemist Licensing Authority.</w:t>
      </w:r>
    </w:p>
    <w:p>
      <w:pPr>
        <w:numPr>
          <w:ilvl w:val="0"/>
          <w:numId w:val="1001"/>
        </w:numPr>
        <w:pStyle w:val="Compact"/>
      </w:pPr>
      <w:r>
        <w:t xml:space="preserve">The Chemist supplier shall ensure that all pharmaceutical products, reagents, and laboratory chemicals listed in this Purchase Order comply with the quality standards set forth by the Iranian Food and Drug Administration (IFDA) and the Tehran Regional Health Bureau.</w:t>
      </w:r>
    </w:p>
    <w:p>
      <w:pPr>
        <w:numPr>
          <w:ilvl w:val="0"/>
          <w:numId w:val="1001"/>
        </w:numPr>
        <w:pStyle w:val="Compact"/>
      </w:pPr>
      <w:r>
        <w:t xml:space="preserve">Delivery of all items shall be made to the receiving warehouse located at 142 Valiasr Street, Enghelab Square, Tehran, Iran. The Chemist vendor is responsible for proper cold-chain handling where applicable and must present valid batch certificates and expiry documentation upon delivery.</w:t>
      </w:r>
    </w:p>
    <w:p>
      <w:pPr>
        <w:numPr>
          <w:ilvl w:val="0"/>
          <w:numId w:val="1001"/>
        </w:numPr>
        <w:pStyle w:val="Compact"/>
      </w:pPr>
      <w:r>
        <w:t xml:space="preserve">Payment shall be made within thirty (30) calendar days of the date of confirmed receipt and inspection of goods at the Tehran facility. Payment will be processed via bank transfer to the Chemist supplier's registered account in accordance with Iranian banking regulations.</w:t>
      </w:r>
    </w:p>
    <w:p>
      <w:pPr>
        <w:numPr>
          <w:ilvl w:val="0"/>
          <w:numId w:val="1001"/>
        </w:numPr>
        <w:pStyle w:val="Compact"/>
      </w:pPr>
      <w:r>
        <w:t xml:space="preserve">The Chemist supplier warrants that all products are free from defects, within their stated shelf life (minimum 18 months remaining at time of delivery), and manufactured in compliance with Good Manufacturing Practice (GMP) standards recognized in Iran.</w:t>
      </w:r>
    </w:p>
    <w:p>
      <w:pPr>
        <w:numPr>
          <w:ilvl w:val="0"/>
          <w:numId w:val="1001"/>
        </w:numPr>
        <w:pStyle w:val="Compact"/>
      </w:pPr>
      <w:r>
        <w:t xml:space="preserve">Any discrepancy in quantity, quality, or packaging must be reported in writing within five (5) business days of delivery. The Chemist vendor shall replace or credit defective items at no additional cost to the purchasing entity.</w:t>
      </w:r>
    </w:p>
    <w:p>
      <w:pPr>
        <w:numPr>
          <w:ilvl w:val="0"/>
          <w:numId w:val="1001"/>
        </w:numPr>
        <w:pStyle w:val="Compact"/>
      </w:pPr>
      <w:r>
        <w:t xml:space="preserve">This Purchase Order is subject to the prevailing exchange rate and pricing regulations of the Central Bank of Iran. Should any government-mandated price adjustment occur prior to delivery, the Chemist supplier must notify the buyer in writing within 48 hours.</w:t>
      </w:r>
    </w:p>
    <w:p>
      <w:pPr>
        <w:numPr>
          <w:ilvl w:val="0"/>
          <w:numId w:val="1001"/>
        </w:numPr>
        <w:pStyle w:val="Compact"/>
      </w:pPr>
      <w:r>
        <w:t xml:space="preserve">All intellectual property, product labeling, and regulatory documentation must be provided in both Persian (Farsi) and English to satisfy the dual-language labeling requirements enforced by the Tehran Chemist Regulatory Board.</w:t>
      </w:r>
    </w:p>
    <w:p>
      <w:pPr>
        <w:numPr>
          <w:ilvl w:val="0"/>
          <w:numId w:val="1001"/>
        </w:numPr>
        <w:pStyle w:val="Compact"/>
      </w:pPr>
      <w:r>
        <w:t xml:space="preserve">Force majeure events, including but not limited to natural disasters affecting the Tehran metropolitan area, shall extend delivery timelines by a mutually agreed period not exceeding sixty (60) days.</w:t>
      </w:r>
    </w:p>
    <w:p>
      <w:pPr>
        <w:numPr>
          <w:ilvl w:val="0"/>
          <w:numId w:val="1001"/>
        </w:numPr>
        <w:pStyle w:val="Compact"/>
      </w:pPr>
      <w:r>
        <w:t xml:space="preserve">This Purchase Order constitutes the entire agreement between the parties regarding the described Chemist supply transaction and supersedes all prior negotiations, representations, or agreements relating to the subject matter herein.</w:t>
      </w:r>
    </w:p>
    <w:p>
      <w:pPr>
        <w:pStyle w:val="FirstParagraph"/>
      </w:pPr>
      <w:r>
        <w:rPr>
          <w:bCs/>
          <w:b/>
        </w:rPr>
        <w:t xml:space="preserve">Important Note for Chemist Compliance in Iran Tehran:</w:t>
      </w:r>
      <w:r>
        <w:t xml:space="preserve"> </w:t>
      </w:r>
      <w:r>
        <w:t xml:space="preserve">All pharmaceutical and chemical products ordered under this Purchase Order must carry valid IFDA registration numbers. The Chemist supplier must maintain a current Tehran Province Chemist Operating License and submit a copy of the license renewal to the purchasing entity prior to each delivery cycle. Failure to present valid licensing documentation will result in immediate rejection of the shipment and potential reporting to the Tehran Chemist Regulatory Board.</w:t>
      </w:r>
    </w:p>
    <w:p>
      <w:pPr>
        <w:pStyle w:val="BodyText"/>
      </w:pPr>
      <w:r>
        <w:t xml:space="preserve">Authorization &amp; Signatures</w:t>
      </w:r>
    </w:p>
    <w:p>
      <w:pPr>
        <w:pStyle w:val="BodyText"/>
      </w:pPr>
      <w:r>
        <w:rPr>
          <w:bCs/>
          <w:b/>
        </w:rPr>
        <w:t xml:space="preserve">Prepared By:</w:t>
      </w:r>
    </w:p>
    <w:p>
      <w:pPr>
        <w:pStyle w:val="BodyText"/>
      </w:pPr>
      <w:r>
        <w:t xml:space="preserve">Sara Ahmadi, Procurement Officer</w:t>
      </w:r>
    </w:p>
    <w:p>
      <w:pPr>
        <w:pStyle w:val="BodyText"/>
      </w:pPr>
      <w:r>
        <w:t xml:space="preserve">Tehran Central Chemist Distribution Co.</w:t>
      </w:r>
    </w:p>
    <w:p>
      <w:pPr>
        <w:pStyle w:val="BodyText"/>
      </w:pPr>
      <w:r>
        <w:t xml:space="preserve">Date: 15 June 2025</w:t>
      </w:r>
    </w:p>
    <w:p>
      <w:pPr>
        <w:pStyle w:val="BodyText"/>
      </w:pPr>
      <w:r>
        <w:rPr>
          <w:bCs/>
          <w:b/>
        </w:rPr>
        <w:t xml:space="preserve">Approved By:</w:t>
      </w:r>
    </w:p>
    <w:p>
      <w:pPr>
        <w:pStyle w:val="BodyText"/>
      </w:pPr>
      <w:r>
        <w:t xml:space="preserve">Dr. Reza Karimi, General Manager</w:t>
      </w:r>
    </w:p>
    <w:p>
      <w:pPr>
        <w:pStyle w:val="BodyText"/>
      </w:pPr>
      <w:r>
        <w:t xml:space="preserve">Tehran Central Chemist Distribution Co.</w:t>
      </w:r>
    </w:p>
    <w:p>
      <w:pPr>
        <w:pStyle w:val="BodyText"/>
      </w:pPr>
      <w:r>
        <w:t xml:space="preserve">Date: 15 June 2025</w:t>
      </w:r>
    </w:p>
    <w:p>
      <w:pPr>
        <w:pStyle w:val="BodyText"/>
      </w:pPr>
      <w:r>
        <w:rPr>
          <w:bCs/>
          <w:b/>
        </w:rPr>
        <w:t xml:space="preserve">Accepted By (Chemist Vendor):</w:t>
      </w:r>
    </w:p>
    <w:p>
      <w:pPr>
        <w:pStyle w:val="BodyText"/>
      </w:pPr>
      <w:r>
        <w:t xml:space="preserve">Dr. Farhad Mohammadi</w:t>
      </w:r>
    </w:p>
    <w:p>
      <w:pPr>
        <w:pStyle w:val="BodyText"/>
      </w:pPr>
      <w:r>
        <w:t xml:space="preserve">Persian Pharma Chemist &amp; Lab Supplies Ltd.</w:t>
      </w:r>
    </w:p>
    <w:p>
      <w:pPr>
        <w:pStyle w:val="BodyText"/>
      </w:pPr>
      <w:r>
        <w:t xml:space="preserve">Date: _______________</w:t>
      </w:r>
    </w:p>
    <w:p>
      <w:pPr>
        <w:pStyle w:val="BodyText"/>
      </w:pPr>
      <w:r>
        <w:t xml:space="preserve">Purchase Order PO-IR-THR-2025-04871 — Chemist Supply Procurement — Iran Tehran</w:t>
      </w:r>
    </w:p>
    <w:p>
      <w:pPr>
        <w:pStyle w:val="BodyText"/>
      </w:pPr>
      <w:r>
        <w:t xml:space="preserve">This document is the property of Tehran Central Chemist Distribution Co. Unauthorized reproduction is prohibited under Iranian commercial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Iran Tehran</dc:title>
  <dc:creator/>
  <dc:language>en</dc:language>
  <cp:keywords/>
  <dcterms:created xsi:type="dcterms:W3CDTF">2026-10-10T01:12:58Z</dcterms:created>
  <dcterms:modified xsi:type="dcterms:W3CDTF">2026-10-10T01:12:58Z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