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Official Procurement Document for Chemist Operations in Italy Milan</w:t>
      </w:r>
    </w:p>
    <w:p>
      <w:pPr>
        <w:pStyle w:val="BodyText"/>
      </w:pPr>
      <w:r>
        <w:t xml:space="preserve">Pharmaceutical &amp; Laboratory Supply Division</w:t>
      </w:r>
    </w:p>
    <w:bookmarkEnd w:id="20"/>
    <w:p>
      <w:pPr>
        <w:pStyle w:val="BodyText"/>
      </w:pPr>
      <w:r>
        <w:t xml:space="preserve">PO No. IT-MIL-2025-04872</w:t>
      </w:r>
    </w:p>
    <w:bookmarkStart w:id="21" w:name="buyer-receiving-chemist"/>
    <w:p>
      <w:pPr>
        <w:pStyle w:val="Heading3"/>
      </w:pPr>
      <w:r>
        <w:t xml:space="preserve">Buyer / Receiving Chemist</w:t>
      </w:r>
    </w:p>
    <w:p>
      <w:pPr>
        <w:pStyle w:val="FirstParagraph"/>
      </w:pPr>
      <w:r>
        <w:rPr>
          <w:bCs/>
          <w:b/>
        </w:rPr>
        <w:t xml:space="preserve">Nome:</w:t>
      </w:r>
      <w:r>
        <w:t xml:space="preserve"> </w:t>
      </w:r>
      <w:r>
        <w:t xml:space="preserve">Farmacia San Marco S.r.l.</w:t>
      </w:r>
    </w:p>
    <w:p>
      <w:pPr>
        <w:pStyle w:val="BodyText"/>
      </w:pPr>
      <w:r>
        <w:rPr>
          <w:bCs/>
          <w:b/>
        </w:rPr>
        <w:t xml:space="preserve">Indirizzo:</w:t>
      </w:r>
      <w:r>
        <w:t xml:space="preserve"> </w:t>
      </w:r>
      <w:r>
        <w:t xml:space="preserve">Via Dante Alighieri 42, 20121 Milano (MI), Italy</w:t>
      </w:r>
    </w:p>
    <w:p>
      <w:pPr>
        <w:pStyle w:val="BodyText"/>
      </w:pPr>
      <w:r>
        <w:rPr>
          <w:bCs/>
          <w:b/>
        </w:rPr>
        <w:t xml:space="preserve">Partita IVA:</w:t>
      </w:r>
      <w:r>
        <w:t xml:space="preserve"> </w:t>
      </w:r>
      <w:r>
        <w:t xml:space="preserve">IT09876543210</w:t>
      </w:r>
    </w:p>
    <w:p>
      <w:pPr>
        <w:pStyle w:val="BodyText"/>
      </w:pPr>
      <w:r>
        <w:rPr>
          <w:bCs/>
          <w:b/>
        </w:rPr>
        <w:t xml:space="preserve">Responsabile:</w:t>
      </w:r>
      <w:r>
        <w:t xml:space="preserve"> </w:t>
      </w:r>
      <w:r>
        <w:t xml:space="preserve">Dott.ssa Elena Marchetti, Farmacista Titolare</w:t>
      </w:r>
    </w:p>
    <w:p>
      <w:pPr>
        <w:pStyle w:val="BodyText"/>
      </w:pPr>
      <w:r>
        <w:rPr>
          <w:bCs/>
          <w:b/>
        </w:rPr>
        <w:t xml:space="preserve">Telefono:</w:t>
      </w:r>
      <w:r>
        <w:t xml:space="preserve"> </w:t>
      </w:r>
      <w:r>
        <w:t xml:space="preserve">+39 02 5551 8834</w:t>
      </w:r>
    </w:p>
    <w:p>
      <w:pPr>
        <w:pStyle w:val="BodyText"/>
      </w:pPr>
      <w:r>
        <w:rPr>
          <w:bCs/>
          <w:b/>
        </w:rPr>
        <w:t xml:space="preserve">Email:</w:t>
      </w:r>
      <w:r>
        <w:t xml:space="preserve"> </w:t>
      </w:r>
      <w:r>
        <w:t xml:space="preserve">ordini@farmaciasanmarco-milano.it</w:t>
      </w:r>
    </w:p>
    <w:bookmarkEnd w:id="21"/>
    <w:bookmarkStart w:id="22" w:name="supplier-vendor"/>
    <w:p>
      <w:pPr>
        <w:pStyle w:val="Heading3"/>
      </w:pPr>
      <w:r>
        <w:t xml:space="preserve">Supplier / Vendor</w:t>
      </w:r>
    </w:p>
    <w:p>
      <w:pPr>
        <w:pStyle w:val="FirstParagraph"/>
      </w:pPr>
      <w:r>
        <w:rPr>
          <w:bCs/>
          <w:b/>
        </w:rPr>
        <w:t xml:space="preserve">Nome:</w:t>
      </w:r>
      <w:r>
        <w:t xml:space="preserve"> </w:t>
      </w:r>
      <w:r>
        <w:t xml:space="preserve">PharmaSupply Italia S.p.A.</w:t>
      </w:r>
    </w:p>
    <w:p>
      <w:pPr>
        <w:pStyle w:val="BodyText"/>
      </w:pPr>
      <w:r>
        <w:rPr>
          <w:bCs/>
          <w:b/>
        </w:rPr>
        <w:t xml:space="preserve">Indirizzo:</w:t>
      </w:r>
      <w:r>
        <w:t xml:space="preserve"> </w:t>
      </w:r>
      <w:r>
        <w:t xml:space="preserve">Via Padova 118, 20143 Milano (MI), Italy</w:t>
      </w:r>
    </w:p>
    <w:p>
      <w:pPr>
        <w:pStyle w:val="BodyText"/>
      </w:pPr>
      <w:r>
        <w:rPr>
          <w:bCs/>
          <w:b/>
        </w:rPr>
        <w:t xml:space="preserve">Partita IVA:</w:t>
      </w:r>
      <w:r>
        <w:t xml:space="preserve"> </w:t>
      </w:r>
      <w:r>
        <w:t xml:space="preserve">IT01234567890</w:t>
      </w:r>
    </w:p>
    <w:p>
      <w:pPr>
        <w:pStyle w:val="BodyText"/>
      </w:pPr>
      <w:r>
        <w:rPr>
          <w:bCs/>
          <w:b/>
        </w:rPr>
        <w:t xml:space="preserve">Responsabile:</w:t>
      </w:r>
      <w:r>
        <w:t xml:space="preserve"> </w:t>
      </w:r>
      <w:r>
        <w:t xml:space="preserve">Ing. Marco Bellini, Account Manager</w:t>
      </w:r>
    </w:p>
    <w:p>
      <w:pPr>
        <w:pStyle w:val="BodyText"/>
      </w:pPr>
      <w:r>
        <w:rPr>
          <w:bCs/>
          <w:b/>
        </w:rPr>
        <w:t xml:space="preserve">Telefono:</w:t>
      </w:r>
      <w:r>
        <w:t xml:space="preserve"> </w:t>
      </w:r>
      <w:r>
        <w:t xml:space="preserve">+39 02 7774 2210</w:t>
      </w:r>
    </w:p>
    <w:p>
      <w:pPr>
        <w:pStyle w:val="BodyText"/>
      </w:pPr>
      <w:r>
        <w:rPr>
          <w:bCs/>
          <w:b/>
        </w:rPr>
        <w:t xml:space="preserve">Email:</w:t>
      </w:r>
      <w:r>
        <w:t xml:space="preserve"> </w:t>
      </w:r>
      <w:r>
        <w:t xml:space="preserve">vendite@pharmasupply-italia.com</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Chemist Warehouse, Via Dante Alighieri 42, Milan, Italy</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Euro (EUR)</w:t>
      </w:r>
    </w:p>
    <w:bookmarkEnd w:id="23"/>
    <w:bookmarkStart w:id="24" w:name="regulatory-reference"/>
    <w:p>
      <w:pPr>
        <w:pStyle w:val="Heading3"/>
      </w:pPr>
      <w:r>
        <w:t xml:space="preserve">Regulatory Reference</w:t>
      </w:r>
    </w:p>
    <w:p>
      <w:pPr>
        <w:pStyle w:val="FirstParagraph"/>
      </w:pPr>
      <w:r>
        <w:rPr>
          <w:bCs/>
          <w:b/>
        </w:rPr>
        <w:t xml:space="preserve">AIFA Registration:</w:t>
      </w:r>
      <w:r>
        <w:t xml:space="preserve"> </w:t>
      </w:r>
      <w:r>
        <w:t xml:space="preserve">AIFA-2025-MI-0091</w:t>
      </w:r>
    </w:p>
    <w:p>
      <w:pPr>
        <w:pStyle w:val="BodyText"/>
      </w:pPr>
      <w:r>
        <w:rPr>
          <w:bCs/>
          <w:b/>
        </w:rPr>
        <w:t xml:space="preserve">ASL Milano Reference:</w:t>
      </w:r>
      <w:r>
        <w:t xml:space="preserve"> </w:t>
      </w:r>
      <w:r>
        <w:t xml:space="preserve">ASL-MI-2025-4471</w:t>
      </w:r>
    </w:p>
    <w:p>
      <w:pPr>
        <w:pStyle w:val="BodyText"/>
      </w:pPr>
      <w:r>
        <w:rPr>
          <w:bCs/>
          <w:b/>
        </w:rPr>
        <w:t xml:space="preserve">GMP Compliance:</w:t>
      </w:r>
      <w:r>
        <w:t xml:space="preserve"> </w:t>
      </w:r>
      <w:r>
        <w:t xml:space="preserve">EU GMP Annex 1 (2022)</w:t>
      </w:r>
    </w:p>
    <w:p>
      <w:pPr>
        <w:pStyle w:val="BodyText"/>
      </w:pPr>
      <w:r>
        <w:rPr>
          <w:bCs/>
          <w:b/>
        </w:rPr>
        <w:t xml:space="preserve">Customs Code:</w:t>
      </w:r>
      <w:r>
        <w:t xml:space="preserve"> </w:t>
      </w:r>
      <w:r>
        <w:t xml:space="preserve">N/A (Intra-EU supply)</w:t>
      </w:r>
    </w:p>
    <w:p>
      <w:pPr>
        <w:pStyle w:val="BodyText"/>
      </w:pPr>
      <w:r>
        <w:rPr>
          <w:bCs/>
          <w:b/>
        </w:rPr>
        <w:t xml:space="preserve">Transport Class:</w:t>
      </w:r>
      <w:r>
        <w:t xml:space="preserve"> </w:t>
      </w:r>
      <w:r>
        <w:t xml:space="preserve">Non-hazardous (Class 9 for select items)</w:t>
      </w:r>
    </w:p>
    <w:bookmarkEnd w:id="24"/>
    <w:bookmarkStart w:id="26" w:name="Xbe37672c90314ae1ec44327b3ddae03621efabb"/>
    <w:p>
      <w:pPr>
        <w:pStyle w:val="Heading2"/>
      </w:pPr>
      <w:r>
        <w:t xml:space="preserve">Itemised Purchase Order – Chemist Stock &amp;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Lot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Amoxicillin 500 mg capsules, 28-count blister (prescription chemist stock)</w:t>
            </w:r>
          </w:p>
        </w:tc>
        <w:tc>
          <w:tcPr/>
          <w:p>
            <w:pPr>
              <w:pStyle w:val="Compact"/>
              <w:jc w:val="left"/>
            </w:pPr>
            <w:r>
              <w:t xml:space="preserve">AMX-500-28 / L2506A</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12.40</w:t>
            </w:r>
          </w:p>
        </w:tc>
        <w:tc>
          <w:tcPr/>
          <w:p>
            <w:pPr>
              <w:pStyle w:val="Compact"/>
              <w:jc w:val="left"/>
            </w:pPr>
            <w:r>
              <w:t xml:space="preserve">2,480.00</w:t>
            </w:r>
          </w:p>
        </w:tc>
      </w:tr>
      <w:tr>
        <w:tc>
          <w:tcPr/>
          <w:p>
            <w:pPr>
              <w:pStyle w:val="Compact"/>
              <w:jc w:val="left"/>
            </w:pPr>
            <w:r>
              <w:t xml:space="preserve">02</w:t>
            </w:r>
          </w:p>
        </w:tc>
        <w:tc>
          <w:tcPr/>
          <w:p>
            <w:pPr>
              <w:pStyle w:val="Compact"/>
              <w:jc w:val="left"/>
            </w:pPr>
            <w:r>
              <w:t xml:space="preserve">Ibuprofen 400 mg tablets, 20-count strip (OTC chemist counter supply)</w:t>
            </w:r>
          </w:p>
        </w:tc>
        <w:tc>
          <w:tcPr/>
          <w:p>
            <w:pPr>
              <w:pStyle w:val="Compact"/>
              <w:jc w:val="left"/>
            </w:pPr>
            <w:r>
              <w:t xml:space="preserve">IBU-400-20 / L2506B</w:t>
            </w:r>
          </w:p>
        </w:tc>
        <w:tc>
          <w:tcPr/>
          <w:p>
            <w:pPr>
              <w:pStyle w:val="Compact"/>
              <w:jc w:val="left"/>
            </w:pPr>
            <w:r>
              <w:t xml:space="preserve">500</w:t>
            </w:r>
          </w:p>
        </w:tc>
        <w:tc>
          <w:tcPr/>
          <w:p>
            <w:pPr>
              <w:pStyle w:val="Compact"/>
              <w:jc w:val="left"/>
            </w:pPr>
            <w:r>
              <w:t xml:space="preserve">Boxes</w:t>
            </w:r>
          </w:p>
        </w:tc>
        <w:tc>
          <w:tcPr/>
          <w:p>
            <w:pPr>
              <w:pStyle w:val="Compact"/>
              <w:jc w:val="left"/>
            </w:pPr>
            <w:r>
              <w:t xml:space="preserve">4.85</w:t>
            </w:r>
          </w:p>
        </w:tc>
        <w:tc>
          <w:tcPr/>
          <w:p>
            <w:pPr>
              <w:pStyle w:val="Compact"/>
              <w:jc w:val="left"/>
            </w:pPr>
            <w:r>
              <w:t xml:space="preserve">2,425.00</w:t>
            </w:r>
          </w:p>
        </w:tc>
      </w:tr>
      <w:tr>
        <w:tc>
          <w:tcPr/>
          <w:p>
            <w:pPr>
              <w:pStyle w:val="Compact"/>
              <w:jc w:val="left"/>
            </w:pPr>
            <w:r>
              <w:t xml:space="preserve">03</w:t>
            </w:r>
          </w:p>
        </w:tc>
        <w:tc>
          <w:tcPr/>
          <w:p>
            <w:pPr>
              <w:pStyle w:val="Compact"/>
              <w:jc w:val="left"/>
            </w:pPr>
            <w:r>
              <w:t xml:space="preserve">Pharmaceutical-grade ethanol 96% v/v, 5 L canister (chemist compounding use)</w:t>
            </w:r>
          </w:p>
        </w:tc>
        <w:tc>
          <w:tcPr/>
          <w:p>
            <w:pPr>
              <w:pStyle w:val="Compact"/>
              <w:jc w:val="left"/>
            </w:pPr>
            <w:r>
              <w:t xml:space="preserve">ETH-96-5L / L2506C</w:t>
            </w:r>
          </w:p>
        </w:tc>
        <w:tc>
          <w:tcPr/>
          <w:p>
            <w:pPr>
              <w:pStyle w:val="Compact"/>
              <w:jc w:val="left"/>
            </w:pPr>
            <w:r>
              <w:t xml:space="preserve">40</w:t>
            </w:r>
          </w:p>
        </w:tc>
        <w:tc>
          <w:tcPr/>
          <w:p>
            <w:pPr>
              <w:pStyle w:val="Compact"/>
              <w:jc w:val="left"/>
            </w:pPr>
            <w:r>
              <w:t xml:space="preserve">Canisters</w:t>
            </w:r>
          </w:p>
        </w:tc>
        <w:tc>
          <w:tcPr/>
          <w:p>
            <w:pPr>
              <w:pStyle w:val="Compact"/>
              <w:jc w:val="left"/>
            </w:pPr>
            <w:r>
              <w:t xml:space="preserve">38.00</w:t>
            </w:r>
          </w:p>
        </w:tc>
        <w:tc>
          <w:tcPr/>
          <w:p>
            <w:pPr>
              <w:pStyle w:val="Compact"/>
              <w:jc w:val="left"/>
            </w:pPr>
            <w:r>
              <w:t xml:space="preserve">1,520.00</w:t>
            </w:r>
          </w:p>
        </w:tc>
      </w:tr>
      <w:tr>
        <w:tc>
          <w:tcPr/>
          <w:p>
            <w:pPr>
              <w:pStyle w:val="Compact"/>
              <w:jc w:val="left"/>
            </w:pPr>
            <w:r>
              <w:t xml:space="preserve">04</w:t>
            </w:r>
          </w:p>
        </w:tc>
        <w:tc>
          <w:tcPr/>
          <w:p>
            <w:pPr>
              <w:pStyle w:val="Compact"/>
              <w:jc w:val="left"/>
            </w:pPr>
            <w:r>
              <w:t xml:space="preserve">Digital analytical balance, 0.001 g precision (chemist laboratory equipment)</w:t>
            </w:r>
          </w:p>
        </w:tc>
        <w:tc>
          <w:tcPr/>
          <w:p>
            <w:pPr>
              <w:pStyle w:val="Compact"/>
              <w:jc w:val="left"/>
            </w:pPr>
            <w:r>
              <w:t xml:space="preserve">LAB-BAL-001 / S2506D</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05</w:t>
            </w:r>
          </w:p>
        </w:tc>
        <w:tc>
          <w:tcPr/>
          <w:p>
            <w:pPr>
              <w:pStyle w:val="Compact"/>
              <w:jc w:val="left"/>
            </w:pPr>
            <w:r>
              <w:t xml:space="preserve">Pharmaceutical glass vials, 10 mL, amber, with PTFE-lined caps (chemist packaging)</w:t>
            </w:r>
          </w:p>
        </w:tc>
        <w:tc>
          <w:tcPr/>
          <w:p>
            <w:pPr>
              <w:pStyle w:val="Compact"/>
              <w:jc w:val="left"/>
            </w:pPr>
            <w:r>
              <w:t xml:space="preserve">GLS-V10-AMB / L2506E</w:t>
            </w:r>
          </w:p>
        </w:tc>
        <w:tc>
          <w:tcPr/>
          <w:p>
            <w:pPr>
              <w:pStyle w:val="Compact"/>
              <w:jc w:val="left"/>
            </w:pPr>
            <w:r>
              <w:t xml:space="preserve">2,000</w:t>
            </w:r>
          </w:p>
        </w:tc>
        <w:tc>
          <w:tcPr/>
          <w:p>
            <w:pPr>
              <w:pStyle w:val="Compact"/>
              <w:jc w:val="left"/>
            </w:pPr>
            <w:r>
              <w:t xml:space="preserve">Pieces</w:t>
            </w:r>
          </w:p>
        </w:tc>
        <w:tc>
          <w:tcPr/>
          <w:p>
            <w:pPr>
              <w:pStyle w:val="Compact"/>
              <w:jc w:val="left"/>
            </w:pPr>
            <w:r>
              <w:t xml:space="preserve">0.32</w:t>
            </w:r>
          </w:p>
        </w:tc>
        <w:tc>
          <w:tcPr/>
          <w:p>
            <w:pPr>
              <w:pStyle w:val="Compact"/>
              <w:jc w:val="left"/>
            </w:pPr>
            <w:r>
              <w:t xml:space="preserve">640.00</w:t>
            </w:r>
          </w:p>
        </w:tc>
      </w:tr>
      <w:tr>
        <w:tc>
          <w:tcPr/>
          <w:p>
            <w:pPr>
              <w:pStyle w:val="Compact"/>
              <w:jc w:val="left"/>
            </w:pPr>
            <w:r>
              <w:t xml:space="preserve">06</w:t>
            </w:r>
          </w:p>
        </w:tc>
        <w:tc>
          <w:tcPr/>
          <w:p>
            <w:pPr>
              <w:pStyle w:val="Compact"/>
              <w:jc w:val="left"/>
            </w:pPr>
            <w:r>
              <w:t xml:space="preserve">Sterile nitrile examination gloves, size M, 100-count box (chemist PPE)</w:t>
            </w:r>
          </w:p>
        </w:tc>
        <w:tc>
          <w:tcPr/>
          <w:p>
            <w:pPr>
              <w:pStyle w:val="Compact"/>
              <w:jc w:val="left"/>
            </w:pPr>
            <w:r>
              <w:t xml:space="preserve">PPE-GLV-M / L2506F</w:t>
            </w:r>
          </w:p>
        </w:tc>
        <w:tc>
          <w:tcPr/>
          <w:p>
            <w:pPr>
              <w:pStyle w:val="Compact"/>
              <w:jc w:val="left"/>
            </w:pPr>
            <w:r>
              <w:t xml:space="preserve">150</w:t>
            </w:r>
          </w:p>
        </w:tc>
        <w:tc>
          <w:tcPr/>
          <w:p>
            <w:pPr>
              <w:pStyle w:val="Compact"/>
              <w:jc w:val="left"/>
            </w:pPr>
            <w:r>
              <w:t xml:space="preserve">Boxes</w:t>
            </w:r>
          </w:p>
        </w:tc>
        <w:tc>
          <w:tcPr/>
          <w:p>
            <w:pPr>
              <w:pStyle w:val="Compact"/>
              <w:jc w:val="left"/>
            </w:pPr>
            <w:r>
              <w:t xml:space="preserve">8.90</w:t>
            </w:r>
          </w:p>
        </w:tc>
        <w:tc>
          <w:tcPr/>
          <w:p>
            <w:pPr>
              <w:pStyle w:val="Compact"/>
              <w:jc w:val="left"/>
            </w:pPr>
            <w:r>
              <w:t xml:space="preserve">1,335.00</w:t>
            </w:r>
          </w:p>
        </w:tc>
      </w:tr>
      <w:tr>
        <w:tc>
          <w:tcPr/>
          <w:p>
            <w:pPr>
              <w:pStyle w:val="Compact"/>
              <w:jc w:val="left"/>
            </w:pPr>
            <w:r>
              <w:t xml:space="preserve">07</w:t>
            </w:r>
          </w:p>
        </w:tc>
        <w:tc>
          <w:tcPr/>
          <w:p>
            <w:pPr>
              <w:pStyle w:val="Compact"/>
              <w:jc w:val="left"/>
            </w:pPr>
            <w:r>
              <w:t xml:space="preserve">Refrigerated transport cooler, 4–8 °C, 60 L capacity (chemist cold-chain logistics)</w:t>
            </w:r>
          </w:p>
        </w:tc>
        <w:tc>
          <w:tcPr/>
          <w:p>
            <w:pPr>
              <w:pStyle w:val="Compact"/>
              <w:jc w:val="left"/>
            </w:pPr>
            <w:r>
              <w:t xml:space="preserve">LOG-CR-60 / S2506G</w:t>
            </w:r>
          </w:p>
        </w:tc>
        <w:tc>
          <w:tcPr/>
          <w:p>
            <w:pPr>
              <w:pStyle w:val="Compact"/>
              <w:jc w:val="left"/>
            </w:pPr>
            <w:r>
              <w:t xml:space="preserve">3</w:t>
            </w:r>
          </w:p>
        </w:tc>
        <w:tc>
          <w:tcPr/>
          <w:p>
            <w:pPr>
              <w:pStyle w:val="Compact"/>
              <w:jc w:val="left"/>
            </w:pPr>
            <w:r>
              <w:t xml:space="preserve">Units</w:t>
            </w:r>
          </w:p>
        </w:tc>
        <w:tc>
          <w:tcPr/>
          <w:p>
            <w:pPr>
              <w:pStyle w:val="Compact"/>
              <w:jc w:val="left"/>
            </w:pPr>
            <w:r>
              <w:t xml:space="preserve">420.00</w:t>
            </w:r>
          </w:p>
        </w:tc>
        <w:tc>
          <w:tcPr/>
          <w:p>
            <w:pPr>
              <w:pStyle w:val="Compact"/>
              <w:jc w:val="left"/>
            </w:pPr>
            <w:r>
              <w:t xml:space="preserve">1,260.00</w:t>
            </w:r>
          </w:p>
        </w:tc>
      </w:tr>
      <w:tr>
        <w:tc>
          <w:tcPr/>
          <w:p>
            <w:pPr>
              <w:pStyle w:val="Compact"/>
              <w:jc w:val="left"/>
            </w:pPr>
            <w:r>
              <w:t xml:space="preserve">08</w:t>
            </w:r>
          </w:p>
        </w:tc>
        <w:tc>
          <w:tcPr/>
          <w:p>
            <w:pPr>
              <w:pStyle w:val="Compact"/>
              <w:jc w:val="left"/>
            </w:pPr>
            <w:r>
              <w:t xml:space="preserve">Pharmaceutical compounding mortar and pestle set, ceramic (chemist preparation tools)</w:t>
            </w:r>
          </w:p>
        </w:tc>
        <w:tc>
          <w:tcPr/>
          <w:p>
            <w:pPr>
              <w:pStyle w:val="Compact"/>
              <w:jc w:val="left"/>
            </w:pPr>
            <w:r>
              <w:t xml:space="preserve">COMP-MP-CER / S2506H</w:t>
            </w:r>
          </w:p>
        </w:tc>
        <w:tc>
          <w:tcPr/>
          <w:p>
            <w:pPr>
              <w:pStyle w:val="Compact"/>
              <w:jc w:val="left"/>
            </w:pPr>
            <w:r>
              <w:t xml:space="preserve">10</w:t>
            </w:r>
          </w:p>
        </w:tc>
        <w:tc>
          <w:tcPr/>
          <w:p>
            <w:pPr>
              <w:pStyle w:val="Compact"/>
              <w:jc w:val="left"/>
            </w:pPr>
            <w:r>
              <w:t xml:space="preserve">Sets</w:t>
            </w:r>
          </w:p>
        </w:tc>
        <w:tc>
          <w:tcPr/>
          <w:p>
            <w:pPr>
              <w:pStyle w:val="Compact"/>
              <w:jc w:val="left"/>
            </w:pPr>
            <w:r>
              <w:t xml:space="preserve">28.50</w:t>
            </w:r>
          </w:p>
        </w:tc>
        <w:tc>
          <w:tcPr/>
          <w:p>
            <w:pPr>
              <w:pStyle w:val="Compact"/>
              <w:jc w:val="left"/>
            </w:pPr>
            <w:r>
              <w:t xml:space="preserve">285.00</w:t>
            </w:r>
          </w:p>
        </w:tc>
      </w:tr>
      <w:tr>
        <w:tc>
          <w:tcPr/>
          <w:p>
            <w:pPr>
              <w:pStyle w:val="Compact"/>
              <w:jc w:val="left"/>
            </w:pPr>
            <w:r>
              <w:t xml:space="preserve">09</w:t>
            </w:r>
          </w:p>
        </w:tc>
        <w:tc>
          <w:tcPr/>
          <w:p>
            <w:pPr>
              <w:pStyle w:val="Compact"/>
              <w:jc w:val="left"/>
            </w:pPr>
            <w:r>
              <w:t xml:space="preserve">Paracetamol 1 g suppositories, 12-count box (chemist paediatric stock)</w:t>
            </w:r>
          </w:p>
        </w:tc>
        <w:tc>
          <w:tcPr/>
          <w:p>
            <w:pPr>
              <w:pStyle w:val="Compact"/>
              <w:jc w:val="left"/>
            </w:pPr>
            <w:r>
              <w:t xml:space="preserve">PAR-1G-SUP / L2506I</w:t>
            </w:r>
          </w:p>
        </w:tc>
        <w:tc>
          <w:tcPr/>
          <w:p>
            <w:pPr>
              <w:pStyle w:val="Compact"/>
              <w:jc w:val="left"/>
            </w:pPr>
            <w:r>
              <w:t xml:space="preserve">300</w:t>
            </w:r>
          </w:p>
        </w:tc>
        <w:tc>
          <w:tcPr/>
          <w:p>
            <w:pPr>
              <w:pStyle w:val="Compact"/>
              <w:jc w:val="left"/>
            </w:pPr>
            <w:r>
              <w:t xml:space="preserve">Boxes</w:t>
            </w:r>
          </w:p>
        </w:tc>
        <w:tc>
          <w:tcPr/>
          <w:p>
            <w:pPr>
              <w:pStyle w:val="Compact"/>
              <w:jc w:val="left"/>
            </w:pPr>
            <w:r>
              <w:t xml:space="preserve">6.20</w:t>
            </w:r>
          </w:p>
        </w:tc>
        <w:tc>
          <w:tcPr/>
          <w:p>
            <w:pPr>
              <w:pStyle w:val="Compact"/>
              <w:jc w:val="left"/>
            </w:pPr>
            <w:r>
              <w:t xml:space="preserve">1,860.00</w:t>
            </w:r>
          </w:p>
        </w:tc>
      </w:tr>
      <w:tr>
        <w:tc>
          <w:tcPr/>
          <w:p>
            <w:pPr>
              <w:pStyle w:val="Compact"/>
              <w:jc w:val="left"/>
            </w:pPr>
            <w:r>
              <w:t xml:space="preserve">10</w:t>
            </w:r>
          </w:p>
        </w:tc>
        <w:tc>
          <w:tcPr/>
          <w:p>
            <w:pPr>
              <w:pStyle w:val="Compact"/>
              <w:jc w:val="left"/>
            </w:pPr>
            <w:r>
              <w:t xml:space="preserve">Pharmaceutical waste disposal bags, 120 L, biohazard-rated (chemist compliance)</w:t>
            </w:r>
          </w:p>
        </w:tc>
        <w:tc>
          <w:tcPr/>
          <w:p>
            <w:pPr>
              <w:pStyle w:val="Compact"/>
              <w:jc w:val="left"/>
            </w:pPr>
            <w:r>
              <w:t xml:space="preserve">WST-BAG-120 / L2506J</w:t>
            </w:r>
          </w:p>
        </w:tc>
        <w:tc>
          <w:tcPr/>
          <w:p>
            <w:pPr>
              <w:pStyle w:val="Compact"/>
              <w:jc w:val="left"/>
            </w:pPr>
            <w:r>
              <w:t xml:space="preserve">200</w:t>
            </w:r>
          </w:p>
        </w:tc>
        <w:tc>
          <w:tcPr/>
          <w:p>
            <w:pPr>
              <w:pStyle w:val="Compact"/>
              <w:jc w:val="left"/>
            </w:pPr>
            <w:r>
              <w:t xml:space="preserve">Rolls</w:t>
            </w:r>
          </w:p>
        </w:tc>
        <w:tc>
          <w:tcPr/>
          <w:p>
            <w:pPr>
              <w:pStyle w:val="Compact"/>
              <w:jc w:val="left"/>
            </w:pPr>
            <w:r>
              <w:t xml:space="preserve">3.10</w:t>
            </w:r>
          </w:p>
        </w:tc>
        <w:tc>
          <w:tcPr/>
          <w:p>
            <w:pPr>
              <w:pStyle w:val="Compact"/>
              <w:jc w:val="left"/>
            </w:pPr>
            <w:r>
              <w:t xml:space="preserve">620.00</w:t>
            </w:r>
          </w:p>
        </w:tc>
      </w:tr>
    </w:tbl>
    <w:p>
      <w:pPr>
        <w:pStyle w:val="BodyText"/>
      </w:pPr>
      <w:r>
        <w:t xml:space="preserve">Subtotal:</w:t>
      </w:r>
      <w:r>
        <w:t xml:space="preserve"> </w:t>
      </w:r>
      <w:r>
        <w:rPr>
          <w:bCs/>
          <w:b/>
        </w:rPr>
        <w:t xml:space="preserve">EUR 16,125.00</w:t>
      </w:r>
    </w:p>
    <w:p>
      <w:pPr>
        <w:pStyle w:val="BodyText"/>
      </w:pPr>
      <w:r>
        <w:t xml:space="preserve">VAT (22% – Italy Milan standard rate):</w:t>
      </w:r>
      <w:r>
        <w:t xml:space="preserve"> </w:t>
      </w:r>
      <w:r>
        <w:rPr>
          <w:bCs/>
          <w:b/>
        </w:rPr>
        <w:t xml:space="preserve">EUR 3,547.50</w:t>
      </w:r>
    </w:p>
    <w:p>
      <w:pPr>
        <w:pStyle w:val="BodyText"/>
      </w:pPr>
      <w:r>
        <w:t xml:space="preserve">Delivery &amp; Handling (within Milan city limits):</w:t>
      </w:r>
      <w:r>
        <w:t xml:space="preserve"> </w:t>
      </w:r>
      <w:r>
        <w:rPr>
          <w:bCs/>
          <w:b/>
        </w:rPr>
        <w:t xml:space="preserve">EUR 185.00</w:t>
      </w:r>
    </w:p>
    <w:p>
      <w:pPr>
        <w:pStyle w:val="BodyText"/>
      </w:pPr>
      <w:r>
        <w:t xml:space="preserve">Grand Total: EUR 19,857.50</w:t>
      </w:r>
    </w:p>
    <w:p>
      <w:pPr>
        <w:pStyle w:val="BodyText"/>
      </w:pPr>
      <w:r>
        <w:rPr>
          <w:bCs/>
          <w:b/>
        </w:rPr>
        <w:t xml:space="preserve">NOTE:</w:t>
      </w:r>
      <w:r>
        <w:t xml:space="preserve"> </w:t>
      </w:r>
      <w:r>
        <w:t xml:space="preserve">All pharmaceutical items listed in this Purchase Order must comply with the Italian Medicines Agency (AIFA) regulations and the European Union Good Manufacturing Practice (GMP) directives. The receiving chemist in Italy Milan is responsible for verifying batch numbers, expiry dates, and storage conditions upon delivery. Temperature-sensitive items (Items 03, 07, 09) must be transported under validated cold-chain conditions in accordance with ASL Milano health authority guidelines.</w:t>
      </w:r>
    </w:p>
    <w:bookmarkStart w:id="25" w:name="terms-conditions-of-this-purchase-order"/>
    <w:p>
      <w:pPr>
        <w:pStyle w:val="Heading3"/>
      </w:pPr>
      <w:r>
        <w:t xml:space="preserve">Terms &amp; Conditions of this Purchase Order</w:t>
      </w:r>
    </w:p>
    <w:p>
      <w:pPr>
        <w:numPr>
          <w:ilvl w:val="0"/>
          <w:numId w:val="1001"/>
        </w:numPr>
        <w:pStyle w:val="Compact"/>
      </w:pPr>
      <w:r>
        <w:t xml:space="preserve">This Purchase Order is issued by Farmacia San Marco S.r.l., a licensed chemist operating in Italy Milan, and constitutes a binding procurement request to PharmaSupply Italia S.p.A. for the goods and services described herein.</w:t>
      </w:r>
    </w:p>
    <w:p>
      <w:pPr>
        <w:numPr>
          <w:ilvl w:val="0"/>
          <w:numId w:val="1001"/>
        </w:numPr>
        <w:pStyle w:val="Compact"/>
      </w:pPr>
      <w:r>
        <w:t xml:space="preserve">All items must be delivered to the chemist premises located at Via Dante Alighieri 42, 20121 Milan, Italy, no later than 28 June 2025. Late delivery beyond five (5) business days entitles the purchasing chemist to cancel this Purchase Order without penalty.</w:t>
      </w:r>
    </w:p>
    <w:p>
      <w:pPr>
        <w:numPr>
          <w:ilvl w:val="0"/>
          <w:numId w:val="1001"/>
        </w:numPr>
        <w:pStyle w:val="Compact"/>
      </w:pPr>
      <w:r>
        <w:t xml:space="preserve">Payment shall be made via bank transfer (bonifico bancario) to the supplier's designated Italian bank account within thirty (30) calendar days of the invoice date, in accordance with Italian commercial law (Codice Civile, Art. 1453 et seq.).</w:t>
      </w:r>
    </w:p>
    <w:p>
      <w:pPr>
        <w:numPr>
          <w:ilvl w:val="0"/>
          <w:numId w:val="1001"/>
        </w:numPr>
        <w:pStyle w:val="Compact"/>
      </w:pPr>
      <w:r>
        <w:t xml:space="preserve">The supplier warrants that all pharmaceutical products conform to the specifications listed in this Purchase Order and hold valid marketing authorisations from AIFA. Any non-conforming goods will be rejected at the chemist's receiving dock in Milan and returned at the supplier's expense.</w:t>
      </w:r>
    </w:p>
    <w:p>
      <w:pPr>
        <w:numPr>
          <w:ilvl w:val="0"/>
          <w:numId w:val="1001"/>
        </w:numPr>
        <w:pStyle w:val="Compact"/>
      </w:pPr>
      <w:r>
        <w:t xml:space="preserve">Intellectual property and proprietary formulations remain the exclusive property of the supplier. This Purchase Order does not transfer any licensing rights beyond the scope of resale by the chemist in Italy Milan.</w:t>
      </w:r>
    </w:p>
    <w:p>
      <w:pPr>
        <w:numPr>
          <w:ilvl w:val="0"/>
          <w:numId w:val="1001"/>
        </w:numPr>
        <w:pStyle w:val="Compact"/>
      </w:pPr>
      <w:r>
        <w:t xml:space="preserve">Disputes arising from this Purchase Order shall be governed by the laws of the Italian Republic and shall be subject to the exclusive jurisdiction of the Tribunale di Milano, Italy Milan.</w:t>
      </w:r>
    </w:p>
    <w:p>
      <w:pPr>
        <w:numPr>
          <w:ilvl w:val="0"/>
          <w:numId w:val="1001"/>
        </w:numPr>
        <w:pStyle w:val="Compact"/>
      </w:pPr>
      <w:r>
        <w:t xml:space="preserve">This Purchase Order is valid for acceptance within ten (10) business days of the issue date. After this period, the chemist reserves the right to modify or withdraw the order without obligation.</w:t>
      </w:r>
    </w:p>
    <w:p>
      <w:pPr>
        <w:numPr>
          <w:ilvl w:val="0"/>
          <w:numId w:val="1001"/>
        </w:numPr>
        <w:pStyle w:val="Compact"/>
      </w:pPr>
      <w:r>
        <w:t xml:space="preserve">All packaging must bear the Italian and English language labelling required by EU Regulation 2019/6 and the Italian D.Lgs. 219/2006 for pharmaceutical products dispensed by a chemist in Italy Milan.</w:t>
      </w:r>
    </w:p>
    <w:p>
      <w:pPr>
        <w:numPr>
          <w:ilvl w:val="0"/>
          <w:numId w:val="1001"/>
        </w:numPr>
        <w:pStyle w:val="Compact"/>
      </w:pPr>
      <w:r>
        <w:t xml:space="preserve">The supplier shall provide a Certificate of Analysis (CoA) and a Certificate of Free Sale for each pharmaceutical batch included in this Purchase Order, to be delivered alongside the physical goods at the chemist's Milan warehouse.</w:t>
      </w:r>
    </w:p>
    <w:bookmarkEnd w:id="25"/>
    <w:p>
      <w:pPr>
        <w:pStyle w:val="FirstParagraph"/>
      </w:pPr>
      <w:r>
        <w:rPr>
          <w:bCs/>
          <w:b/>
        </w:rPr>
        <w:t xml:space="preserve">Authorised by (Purchasing Chemist):</w:t>
      </w:r>
    </w:p>
    <w:p>
      <w:pPr>
        <w:pStyle w:val="BodyText"/>
      </w:pPr>
      <w:r>
        <w:t xml:space="preserve">Dott.ssa Elena Marchetti</w:t>
      </w:r>
      <w:r>
        <w:br/>
      </w:r>
      <w:r>
        <w:t xml:space="preserve">Farmacista Titolare – Farmacia San Marco S.r.l.</w:t>
      </w:r>
      <w:r>
        <w:br/>
      </w:r>
      <w:r>
        <w:t xml:space="preserve">Milano, Italy</w:t>
      </w:r>
      <w:r>
        <w:br/>
      </w:r>
      <w:r>
        <w:t xml:space="preserve">Date: _______________</w:t>
      </w:r>
    </w:p>
    <w:p>
      <w:pPr>
        <w:pStyle w:val="BodyText"/>
      </w:pPr>
      <w:r>
        <w:rPr>
          <w:bCs/>
          <w:b/>
        </w:rPr>
        <w:t xml:space="preserve">Accepted by (Supplier):</w:t>
      </w:r>
    </w:p>
    <w:p>
      <w:pPr>
        <w:pStyle w:val="BodyText"/>
      </w:pPr>
      <w:r>
        <w:t xml:space="preserve">Ing. Marco Bellini</w:t>
      </w:r>
      <w:r>
        <w:br/>
      </w:r>
      <w:r>
        <w:t xml:space="preserve">Account Manager – PharmaSupply Italia S.p.A.</w:t>
      </w:r>
      <w:r>
        <w:br/>
      </w:r>
      <w:r>
        <w:t xml:space="preserve">Milano, Italy</w:t>
      </w:r>
      <w:r>
        <w:br/>
      </w:r>
      <w:r>
        <w:t xml:space="preserve">Date: _______________</w:t>
      </w:r>
    </w:p>
    <w:p>
      <w:pPr>
        <w:pStyle w:val="BodyText"/>
      </w:pPr>
      <w:r>
        <w:t xml:space="preserve">This Purchase Order (PO No. IT-MIL-2025-04872) was generated for the chemist operations of Farmacia San Marco S.r.l. in Italy Milan. It is a controlled document and must not be reproduced or distributed without written authorisation from the issuing chemist. For queries, contact the purchasing department at ordini@farmaciasanmarco-milano.it. Document reference: AIFA-2025-MI-0091 / ASL-MI-2025-4471.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Italy Milan</dc:title>
  <dc:creator/>
  <dc:language>en</dc:language>
  <cp:keywords/>
  <dcterms:created xsi:type="dcterms:W3CDTF">2026-10-10T03:02:25Z</dcterms:created>
  <dcterms:modified xsi:type="dcterms:W3CDTF">2026-10-10T03:02:25Z</dcterms:modified>
</cp:coreProperties>
</file>

<file path=docProps/custom.xml><?xml version="1.0" encoding="utf-8"?>
<Properties xmlns="http://schemas.openxmlformats.org/officeDocument/2006/custom-properties" xmlns:vt="http://schemas.openxmlformats.org/officeDocument/2006/docPropsVTypes"/>
</file>