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Chemist</w:t>
      </w:r>
      <w:r>
        <w:t xml:space="preserve"> </w:t>
      </w:r>
      <w:r>
        <w:t xml:space="preserve">Rome,</w:t>
      </w:r>
      <w:r>
        <w:t xml:space="preserve"> </w:t>
      </w:r>
      <w:r>
        <w:t xml:space="preserve">Italy</w:t>
      </w:r>
    </w:p>
    <w:bookmarkStart w:id="20" w:name="purchase-order"/>
    <w:p>
      <w:pPr>
        <w:pStyle w:val="Heading1"/>
      </w:pPr>
      <w:r>
        <w:t xml:space="preserve">PURCHASE ORDER</w:t>
      </w:r>
    </w:p>
    <w:p>
      <w:pPr>
        <w:pStyle w:val="FirstParagraph"/>
      </w:pPr>
      <w:r>
        <w:t xml:space="preserve">Official Procurement Document — Chemist Supply Chain, Italy Rome</w:t>
      </w:r>
    </w:p>
    <w:p>
      <w:pPr>
        <w:pStyle w:val="BodyText"/>
      </w:pPr>
      <w:r>
        <w:t xml:space="preserve">PO No.: IT-RM-2025-04872</w:t>
      </w:r>
    </w:p>
    <w:p>
      <w:pPr>
        <w:pStyle w:val="BodyText"/>
      </w:pPr>
      <w:r>
        <w:rPr>
          <w:bCs/>
          <w:b/>
        </w:rPr>
        <w:t xml:space="preserve">Date of Issue:</w:t>
      </w:r>
      <w:r>
        <w:t xml:space="preserve"> </w:t>
      </w:r>
      <w:r>
        <w:t xml:space="preserve">14 June 2025   |  </w:t>
      </w:r>
      <w:r>
        <w:t xml:space="preserve"> </w:t>
      </w:r>
      <w:r>
        <w:rPr>
          <w:bCs/>
          <w:b/>
        </w:rPr>
        <w:t xml:space="preserve">Valid Until:</w:t>
      </w:r>
      <w:r>
        <w:t xml:space="preserve"> </w:t>
      </w:r>
      <w:r>
        <w:t xml:space="preserve">14 July 2025</w:t>
      </w:r>
    </w:p>
    <w:bookmarkEnd w:id="20"/>
    <w:bookmarkStart w:id="21" w:name="buyer-chemist"/>
    <w:p>
      <w:pPr>
        <w:pStyle w:val="Heading3"/>
      </w:pPr>
      <w:r>
        <w:t xml:space="preserve">Buyer (Chemist)</w:t>
      </w:r>
    </w:p>
    <w:p>
      <w:pPr>
        <w:pStyle w:val="FirstParagraph"/>
      </w:pPr>
      <w:r>
        <w:rPr>
          <w:bCs/>
          <w:b/>
        </w:rPr>
        <w:t xml:space="preserve">Pharmacia San Lorenzo</w:t>
      </w:r>
    </w:p>
    <w:p>
      <w:pPr>
        <w:pStyle w:val="BodyText"/>
      </w:pPr>
      <w:r>
        <w:t xml:space="preserve">Via dei Coronari, 42</w:t>
      </w:r>
    </w:p>
    <w:p>
      <w:pPr>
        <w:pStyle w:val="BodyText"/>
      </w:pPr>
      <w:r>
        <w:t xml:space="preserve">00186 Rome (RM), Italy</w:t>
      </w:r>
    </w:p>
    <w:p>
      <w:pPr>
        <w:pStyle w:val="BodyText"/>
      </w:pPr>
      <w:r>
        <w:t xml:space="preserve">VAT: IT01234567890</w:t>
      </w:r>
    </w:p>
    <w:p>
      <w:pPr>
        <w:pStyle w:val="BodyText"/>
      </w:pPr>
      <w:r>
        <w:t xml:space="preserve">Pharmacy License: RM-2019-004521</w:t>
      </w:r>
    </w:p>
    <w:p>
      <w:pPr>
        <w:pStyle w:val="BodyText"/>
      </w:pPr>
      <w:r>
        <w:t xml:space="preserve">Contact: Dott.ssa Maria Conti</w:t>
      </w:r>
    </w:p>
    <w:p>
      <w:pPr>
        <w:pStyle w:val="BodyText"/>
      </w:pPr>
      <w:r>
        <w:t xml:space="preserve">Email: ordini@farmaciasanlorenzo.it</w:t>
      </w:r>
    </w:p>
    <w:p>
      <w:pPr>
        <w:pStyle w:val="BodyText"/>
      </w:pPr>
      <w:r>
        <w:t xml:space="preserve">Phone: +39 06 6889 1234</w:t>
      </w:r>
    </w:p>
    <w:bookmarkEnd w:id="21"/>
    <w:bookmarkStart w:id="22" w:name="supplier"/>
    <w:p>
      <w:pPr>
        <w:pStyle w:val="Heading3"/>
      </w:pPr>
      <w:r>
        <w:t xml:space="preserve">Supplier</w:t>
      </w:r>
    </w:p>
    <w:p>
      <w:pPr>
        <w:pStyle w:val="FirstParagraph"/>
      </w:pPr>
      <w:r>
        <w:rPr>
          <w:bCs/>
          <w:b/>
        </w:rPr>
        <w:t xml:space="preserve">MedSupply Italia S.r.l.</w:t>
      </w:r>
    </w:p>
    <w:p>
      <w:pPr>
        <w:pStyle w:val="BodyText"/>
      </w:pPr>
      <w:r>
        <w:t xml:space="preserve">Viale dell'Innovazione, 18</w:t>
      </w:r>
    </w:p>
    <w:p>
      <w:pPr>
        <w:pStyle w:val="BodyText"/>
      </w:pPr>
      <w:r>
        <w:t xml:space="preserve">00144 Rome (RM), Italy</w:t>
      </w:r>
    </w:p>
    <w:p>
      <w:pPr>
        <w:pStyle w:val="BodyText"/>
      </w:pPr>
      <w:r>
        <w:t xml:space="preserve">VAT: IT09876543210</w:t>
      </w:r>
    </w:p>
    <w:p>
      <w:pPr>
        <w:pStyle w:val="BodyText"/>
      </w:pPr>
      <w:r>
        <w:t xml:space="preserve">Business Reg.: RM-2015-778210</w:t>
      </w:r>
    </w:p>
    <w:p>
      <w:pPr>
        <w:pStyle w:val="BodyText"/>
      </w:pPr>
      <w:r>
        <w:t xml:space="preserve">Contact: Ing. Paolo Ferrante</w:t>
      </w:r>
    </w:p>
    <w:p>
      <w:pPr>
        <w:pStyle w:val="BodyText"/>
      </w:pPr>
      <w:r>
        <w:t xml:space="preserve">Email: vendite@medsupplyitalia.it</w:t>
      </w:r>
    </w:p>
    <w:p>
      <w:pPr>
        <w:pStyle w:val="BodyText"/>
      </w:pPr>
      <w:r>
        <w:t xml:space="preserve">Phone: +39 06 4977 5566</w:t>
      </w:r>
    </w:p>
    <w:bookmarkEnd w:id="22"/>
    <w:p>
      <w:pPr>
        <w:pStyle w:val="BodyText"/>
      </w:pPr>
      <w:r>
        <w:t xml:space="preserve">Order Details — Chemist Procurement, Italy Rome</w:t>
      </w:r>
    </w:p>
    <w:p>
      <w:pPr>
        <w:pStyle w:val="BodyText"/>
      </w:pPr>
      <w:r>
        <w:t xml:space="preserve">This Purchase Order is issued by Pharmacia San Lorenzo, a licensed chemist (pharmacy) operating in the historic centre of Italy Rome, for the procurement of pharmaceutical products, medical supplies, and ancillary goods. This document constitutes a binding request for the supply of the items listed below in accordance with the regulations of the Italian Ministry of Health and the professional standards governing chemist operations within the municipality of Rome.</w:t>
      </w:r>
    </w:p>
    <w:p>
      <w:pPr>
        <w:pStyle w:val="BodyText"/>
      </w:pPr>
      <w:r>
        <w:t xml:space="preserve">Line Items</w:t>
      </w:r>
    </w:p>
    <w:tbl>
      <w:tblPr>
        <w:tblStyle w:val="Table"/>
        <w:tblW w:type="auto" w:w="0"/>
        <w:tblLook w:firstRow="1" w:lastRow="0" w:firstColumn="0" w:lastColumn="0" w:noHBand="0" w:noVBand="0" w:val="0020"/>
      </w:tblPr>
      <w:tblGrid>
        <w:gridCol w:w="1131"/>
        <w:gridCol w:w="1131"/>
        <w:gridCol w:w="1131"/>
        <w:gridCol w:w="1131"/>
        <w:gridCol w:w="1131"/>
        <w:gridCol w:w="1131"/>
        <w:gridCol w:w="1131"/>
      </w:tblGrid>
      <w:tr>
        <w:trPr>
          <w:tblHeader w:val="true"/>
        </w:trPr>
        <w:tc>
          <w:tcPr/>
          <w:p>
            <w:pPr>
              <w:pStyle w:val="Compact"/>
              <w:jc w:val="left"/>
            </w:pPr>
            <w:r>
              <w:t xml:space="preserve">Ref</w:t>
            </w:r>
          </w:p>
        </w:tc>
        <w:tc>
          <w:tcPr/>
          <w:p>
            <w:pPr>
              <w:pStyle w:val="Compact"/>
              <w:jc w:val="left"/>
            </w:pPr>
            <w:r>
              <w:t xml:space="preserve">Description</w:t>
            </w:r>
          </w:p>
        </w:tc>
        <w:tc>
          <w:tcPr/>
          <w:p>
            <w:pPr>
              <w:pStyle w:val="Compact"/>
              <w:jc w:val="left"/>
            </w:pPr>
            <w:r>
              <w:t xml:space="preserve">Category</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Unit Price (EUR)</w:t>
            </w:r>
          </w:p>
        </w:tc>
        <w:tc>
          <w:tcPr/>
          <w:p>
            <w:pPr>
              <w:pStyle w:val="Compact"/>
              <w:jc w:val="left"/>
            </w:pPr>
            <w:r>
              <w:t xml:space="preserve">Total (EUR)</w:t>
            </w:r>
          </w:p>
        </w:tc>
      </w:tr>
      <w:tr>
        <w:tc>
          <w:tcPr/>
          <w:p>
            <w:pPr>
              <w:pStyle w:val="Compact"/>
              <w:jc w:val="left"/>
            </w:pPr>
            <w:r>
              <w:t xml:space="preserve">01</w:t>
            </w:r>
          </w:p>
        </w:tc>
        <w:tc>
          <w:tcPr/>
          <w:p>
            <w:pPr>
              <w:pStyle w:val="Compact"/>
              <w:jc w:val="left"/>
            </w:pPr>
            <w:r>
              <w:t xml:space="preserve">Amoxicillin 500mg capsules, 21-count blister (AIC: 037123456)</w:t>
            </w:r>
          </w:p>
        </w:tc>
        <w:tc>
          <w:tcPr/>
          <w:p>
            <w:pPr>
              <w:pStyle w:val="Compact"/>
              <w:jc w:val="left"/>
            </w:pPr>
            <w:r>
              <w:t xml:space="preserve">Pharmaceutical</w:t>
            </w:r>
          </w:p>
        </w:tc>
        <w:tc>
          <w:tcPr/>
          <w:p>
            <w:pPr>
              <w:pStyle w:val="Compact"/>
              <w:jc w:val="left"/>
            </w:pPr>
            <w:r>
              <w:t xml:space="preserve">200</w:t>
            </w:r>
          </w:p>
        </w:tc>
        <w:tc>
          <w:tcPr/>
          <w:p>
            <w:pPr>
              <w:pStyle w:val="Compact"/>
              <w:jc w:val="left"/>
            </w:pPr>
            <w:r>
              <w:t xml:space="preserve">boxes</w:t>
            </w:r>
          </w:p>
        </w:tc>
        <w:tc>
          <w:tcPr/>
          <w:p>
            <w:pPr>
              <w:pStyle w:val="Compact"/>
              <w:jc w:val="left"/>
            </w:pPr>
            <w:r>
              <w:t xml:space="preserve">4.85</w:t>
            </w:r>
          </w:p>
        </w:tc>
        <w:tc>
          <w:tcPr/>
          <w:p>
            <w:pPr>
              <w:pStyle w:val="Compact"/>
              <w:jc w:val="left"/>
            </w:pPr>
            <w:r>
              <w:t xml:space="preserve">970.00</w:t>
            </w:r>
          </w:p>
        </w:tc>
      </w:tr>
      <w:tr>
        <w:tc>
          <w:tcPr/>
          <w:p>
            <w:pPr>
              <w:pStyle w:val="Compact"/>
              <w:jc w:val="left"/>
            </w:pPr>
            <w:r>
              <w:t xml:space="preserve">02</w:t>
            </w:r>
          </w:p>
        </w:tc>
        <w:tc>
          <w:tcPr/>
          <w:p>
            <w:pPr>
              <w:pStyle w:val="Compact"/>
              <w:jc w:val="left"/>
            </w:pPr>
            <w:r>
              <w:t xml:space="preserve">Ibuprofen 400mg tablets, 20-count strip (AIC: 037123457)</w:t>
            </w:r>
          </w:p>
        </w:tc>
        <w:tc>
          <w:tcPr/>
          <w:p>
            <w:pPr>
              <w:pStyle w:val="Compact"/>
              <w:jc w:val="left"/>
            </w:pPr>
            <w:r>
              <w:t xml:space="preserve">Pharmaceutical</w:t>
            </w:r>
          </w:p>
        </w:tc>
        <w:tc>
          <w:tcPr/>
          <w:p>
            <w:pPr>
              <w:pStyle w:val="Compact"/>
              <w:jc w:val="left"/>
            </w:pPr>
            <w:r>
              <w:t xml:space="preserve">350</w:t>
            </w:r>
          </w:p>
        </w:tc>
        <w:tc>
          <w:tcPr/>
          <w:p>
            <w:pPr>
              <w:pStyle w:val="Compact"/>
              <w:jc w:val="left"/>
            </w:pPr>
            <w:r>
              <w:t xml:space="preserve">boxes</w:t>
            </w:r>
          </w:p>
        </w:tc>
        <w:tc>
          <w:tcPr/>
          <w:p>
            <w:pPr>
              <w:pStyle w:val="Compact"/>
              <w:jc w:val="left"/>
            </w:pPr>
            <w:r>
              <w:t xml:space="preserve">2.10</w:t>
            </w:r>
          </w:p>
        </w:tc>
        <w:tc>
          <w:tcPr/>
          <w:p>
            <w:pPr>
              <w:pStyle w:val="Compact"/>
              <w:jc w:val="left"/>
            </w:pPr>
            <w:r>
              <w:t xml:space="preserve">735.00</w:t>
            </w:r>
          </w:p>
        </w:tc>
      </w:tr>
      <w:tr>
        <w:tc>
          <w:tcPr/>
          <w:p>
            <w:pPr>
              <w:pStyle w:val="Compact"/>
              <w:jc w:val="left"/>
            </w:pPr>
            <w:r>
              <w:t xml:space="preserve">03</w:t>
            </w:r>
          </w:p>
        </w:tc>
        <w:tc>
          <w:tcPr/>
          <w:p>
            <w:pPr>
              <w:pStyle w:val="Compact"/>
              <w:jc w:val="left"/>
            </w:pPr>
            <w:r>
              <w:t xml:space="preserve">Salbutamol 100mcg inhaler, 200 doses (AIC: 037123458)</w:t>
            </w:r>
          </w:p>
        </w:tc>
        <w:tc>
          <w:tcPr/>
          <w:p>
            <w:pPr>
              <w:pStyle w:val="Compact"/>
              <w:jc w:val="left"/>
            </w:pPr>
            <w:r>
              <w:t xml:space="preserve">Pharmaceutical</w:t>
            </w:r>
          </w:p>
        </w:tc>
        <w:tc>
          <w:tcPr/>
          <w:p>
            <w:pPr>
              <w:pStyle w:val="Compact"/>
              <w:jc w:val="left"/>
            </w:pPr>
            <w:r>
              <w:t xml:space="preserve">80</w:t>
            </w:r>
          </w:p>
        </w:tc>
        <w:tc>
          <w:tcPr/>
          <w:p>
            <w:pPr>
              <w:pStyle w:val="Compact"/>
              <w:jc w:val="left"/>
            </w:pPr>
            <w:r>
              <w:t xml:space="preserve">units</w:t>
            </w:r>
          </w:p>
        </w:tc>
        <w:tc>
          <w:tcPr/>
          <w:p>
            <w:pPr>
              <w:pStyle w:val="Compact"/>
              <w:jc w:val="left"/>
            </w:pPr>
            <w:r>
              <w:t xml:space="preserve">12.40</w:t>
            </w:r>
          </w:p>
        </w:tc>
        <w:tc>
          <w:tcPr/>
          <w:p>
            <w:pPr>
              <w:pStyle w:val="Compact"/>
              <w:jc w:val="left"/>
            </w:pPr>
            <w:r>
              <w:t xml:space="preserve">992.00</w:t>
            </w:r>
          </w:p>
        </w:tc>
      </w:tr>
      <w:tr>
        <w:tc>
          <w:tcPr/>
          <w:p>
            <w:pPr>
              <w:pStyle w:val="Compact"/>
              <w:jc w:val="left"/>
            </w:pPr>
            <w:r>
              <w:t xml:space="preserve">04</w:t>
            </w:r>
          </w:p>
        </w:tc>
        <w:tc>
          <w:tcPr/>
          <w:p>
            <w:pPr>
              <w:pStyle w:val="Compact"/>
              <w:jc w:val="left"/>
            </w:pPr>
            <w:r>
              <w:t xml:space="preserve">Sterile gauze compresses 10x10cm, 10-pack</w:t>
            </w:r>
          </w:p>
        </w:tc>
        <w:tc>
          <w:tcPr/>
          <w:p>
            <w:pPr>
              <w:pStyle w:val="Compact"/>
              <w:jc w:val="left"/>
            </w:pPr>
            <w:r>
              <w:t xml:space="preserve">Medical Supply</w:t>
            </w:r>
          </w:p>
        </w:tc>
        <w:tc>
          <w:tcPr/>
          <w:p>
            <w:pPr>
              <w:pStyle w:val="Compact"/>
              <w:jc w:val="left"/>
            </w:pPr>
            <w:r>
              <w:t xml:space="preserve">150</w:t>
            </w:r>
          </w:p>
        </w:tc>
        <w:tc>
          <w:tcPr/>
          <w:p>
            <w:pPr>
              <w:pStyle w:val="Compact"/>
              <w:jc w:val="left"/>
            </w:pPr>
            <w:r>
              <w:t xml:space="preserve">packs</w:t>
            </w:r>
          </w:p>
        </w:tc>
        <w:tc>
          <w:tcPr/>
          <w:p>
            <w:pPr>
              <w:pStyle w:val="Compact"/>
              <w:jc w:val="left"/>
            </w:pPr>
            <w:r>
              <w:t xml:space="preserve">1.75</w:t>
            </w:r>
          </w:p>
        </w:tc>
        <w:tc>
          <w:tcPr/>
          <w:p>
            <w:pPr>
              <w:pStyle w:val="Compact"/>
              <w:jc w:val="left"/>
            </w:pPr>
            <w:r>
              <w:t xml:space="preserve">262.50</w:t>
            </w:r>
          </w:p>
        </w:tc>
      </w:tr>
      <w:tr>
        <w:tc>
          <w:tcPr/>
          <w:p>
            <w:pPr>
              <w:pStyle w:val="Compact"/>
              <w:jc w:val="left"/>
            </w:pPr>
            <w:r>
              <w:t xml:space="preserve">05</w:t>
            </w:r>
          </w:p>
        </w:tc>
        <w:tc>
          <w:tcPr/>
          <w:p>
            <w:pPr>
              <w:pStyle w:val="Compact"/>
              <w:jc w:val="left"/>
            </w:pPr>
            <w:r>
              <w:t xml:space="preserve">Nitrile examination gloves, size M, box of 100</w:t>
            </w:r>
          </w:p>
        </w:tc>
        <w:tc>
          <w:tcPr/>
          <w:p>
            <w:pPr>
              <w:pStyle w:val="Compact"/>
              <w:jc w:val="left"/>
            </w:pPr>
            <w:r>
              <w:t xml:space="preserve">Medical Supply</w:t>
            </w:r>
          </w:p>
        </w:tc>
        <w:tc>
          <w:tcPr/>
          <w:p>
            <w:pPr>
              <w:pStyle w:val="Compact"/>
              <w:jc w:val="left"/>
            </w:pPr>
            <w:r>
              <w:t xml:space="preserve">60</w:t>
            </w:r>
          </w:p>
        </w:tc>
        <w:tc>
          <w:tcPr/>
          <w:p>
            <w:pPr>
              <w:pStyle w:val="Compact"/>
              <w:jc w:val="left"/>
            </w:pPr>
            <w:r>
              <w:t xml:space="preserve">boxes</w:t>
            </w:r>
          </w:p>
        </w:tc>
        <w:tc>
          <w:tcPr/>
          <w:p>
            <w:pPr>
              <w:pStyle w:val="Compact"/>
              <w:jc w:val="left"/>
            </w:pPr>
            <w:r>
              <w:t xml:space="preserve">8.90</w:t>
            </w:r>
          </w:p>
        </w:tc>
        <w:tc>
          <w:tcPr/>
          <w:p>
            <w:pPr>
              <w:pStyle w:val="Compact"/>
              <w:jc w:val="left"/>
            </w:pPr>
            <w:r>
              <w:t xml:space="preserve">534.00</w:t>
            </w:r>
          </w:p>
        </w:tc>
      </w:tr>
      <w:tr>
        <w:tc>
          <w:tcPr/>
          <w:p>
            <w:pPr>
              <w:pStyle w:val="Compact"/>
              <w:jc w:val="left"/>
            </w:pPr>
            <w:r>
              <w:t xml:space="preserve">06</w:t>
            </w:r>
          </w:p>
        </w:tc>
        <w:tc>
          <w:tcPr/>
          <w:p>
            <w:pPr>
              <w:pStyle w:val="Compact"/>
              <w:jc w:val="left"/>
            </w:pPr>
            <w:r>
              <w:t xml:space="preserve">Digital blood pressure monitor, upper-arm type</w:t>
            </w:r>
          </w:p>
        </w:tc>
        <w:tc>
          <w:tcPr/>
          <w:p>
            <w:pPr>
              <w:pStyle w:val="Compact"/>
              <w:jc w:val="left"/>
            </w:pPr>
            <w:r>
              <w:t xml:space="preserve">Equipment</w:t>
            </w:r>
          </w:p>
        </w:tc>
        <w:tc>
          <w:tcPr/>
          <w:p>
            <w:pPr>
              <w:pStyle w:val="Compact"/>
              <w:jc w:val="left"/>
            </w:pPr>
            <w:r>
              <w:t xml:space="preserve">5</w:t>
            </w:r>
          </w:p>
        </w:tc>
        <w:tc>
          <w:tcPr/>
          <w:p>
            <w:pPr>
              <w:pStyle w:val="Compact"/>
              <w:jc w:val="left"/>
            </w:pPr>
            <w:r>
              <w:t xml:space="preserve">units</w:t>
            </w:r>
          </w:p>
        </w:tc>
        <w:tc>
          <w:tcPr/>
          <w:p>
            <w:pPr>
              <w:pStyle w:val="Compact"/>
              <w:jc w:val="left"/>
            </w:pPr>
            <w:r>
              <w:t xml:space="preserve">45.00</w:t>
            </w:r>
          </w:p>
        </w:tc>
        <w:tc>
          <w:tcPr/>
          <w:p>
            <w:pPr>
              <w:pStyle w:val="Compact"/>
              <w:jc w:val="left"/>
            </w:pPr>
            <w:r>
              <w:t xml:space="preserve">225.00</w:t>
            </w:r>
          </w:p>
        </w:tc>
      </w:tr>
      <w:tr>
        <w:tc>
          <w:tcPr/>
          <w:p>
            <w:pPr>
              <w:pStyle w:val="Compact"/>
              <w:jc w:val="left"/>
            </w:pPr>
            <w:r>
              <w:t xml:space="preserve">07</w:t>
            </w:r>
          </w:p>
        </w:tc>
        <w:tc>
          <w:tcPr/>
          <w:p>
            <w:pPr>
              <w:pStyle w:val="Compact"/>
              <w:jc w:val="left"/>
            </w:pPr>
            <w:r>
              <w:t xml:space="preserve">Thermometer, infrared forehead, medical grade</w:t>
            </w:r>
          </w:p>
        </w:tc>
        <w:tc>
          <w:tcPr/>
          <w:p>
            <w:pPr>
              <w:pStyle w:val="Compact"/>
              <w:jc w:val="left"/>
            </w:pPr>
            <w:r>
              <w:t xml:space="preserve">Equipment</w:t>
            </w:r>
          </w:p>
        </w:tc>
        <w:tc>
          <w:tcPr/>
          <w:p>
            <w:pPr>
              <w:pStyle w:val="Compact"/>
              <w:jc w:val="left"/>
            </w:pPr>
            <w:r>
              <w:t xml:space="preserve">10</w:t>
            </w:r>
          </w:p>
        </w:tc>
        <w:tc>
          <w:tcPr/>
          <w:p>
            <w:pPr>
              <w:pStyle w:val="Compact"/>
              <w:jc w:val="left"/>
            </w:pPr>
            <w:r>
              <w:t xml:space="preserve">units</w:t>
            </w:r>
          </w:p>
        </w:tc>
        <w:tc>
          <w:tcPr/>
          <w:p>
            <w:pPr>
              <w:pStyle w:val="Compact"/>
              <w:jc w:val="left"/>
            </w:pPr>
            <w:r>
              <w:t xml:space="preserve">28.50</w:t>
            </w:r>
          </w:p>
        </w:tc>
        <w:tc>
          <w:tcPr/>
          <w:p>
            <w:pPr>
              <w:pStyle w:val="Compact"/>
              <w:jc w:val="left"/>
            </w:pPr>
            <w:r>
              <w:t xml:space="preserve">285.00</w:t>
            </w:r>
          </w:p>
        </w:tc>
      </w:tr>
      <w:tr>
        <w:tc>
          <w:tcPr/>
          <w:p>
            <w:pPr>
              <w:pStyle w:val="Compact"/>
              <w:jc w:val="left"/>
            </w:pPr>
            <w:r>
              <w:t xml:space="preserve">08</w:t>
            </w:r>
          </w:p>
        </w:tc>
        <w:tc>
          <w:tcPr/>
          <w:p>
            <w:pPr>
              <w:pStyle w:val="Compact"/>
              <w:jc w:val="left"/>
            </w:pPr>
            <w:r>
              <w:t xml:space="preserve">Pharmacy shelving unit, stainless steel, 120x40x180cm</w:t>
            </w:r>
          </w:p>
        </w:tc>
        <w:tc>
          <w:tcPr/>
          <w:p>
            <w:pPr>
              <w:pStyle w:val="Compact"/>
              <w:jc w:val="left"/>
            </w:pPr>
            <w:r>
              <w:t xml:space="preserve">Furniture</w:t>
            </w:r>
          </w:p>
        </w:tc>
        <w:tc>
          <w:tcPr/>
          <w:p>
            <w:pPr>
              <w:pStyle w:val="Compact"/>
              <w:jc w:val="left"/>
            </w:pPr>
            <w:r>
              <w:t xml:space="preserve">3</w:t>
            </w:r>
          </w:p>
        </w:tc>
        <w:tc>
          <w:tcPr/>
          <w:p>
            <w:pPr>
              <w:pStyle w:val="Compact"/>
              <w:jc w:val="left"/>
            </w:pPr>
            <w:r>
              <w:t xml:space="preserve">units</w:t>
            </w:r>
          </w:p>
        </w:tc>
        <w:tc>
          <w:tcPr/>
          <w:p>
            <w:pPr>
              <w:pStyle w:val="Compact"/>
              <w:jc w:val="left"/>
            </w:pPr>
            <w:r>
              <w:t xml:space="preserve">320.00</w:t>
            </w:r>
          </w:p>
        </w:tc>
        <w:tc>
          <w:tcPr/>
          <w:p>
            <w:pPr>
              <w:pStyle w:val="Compact"/>
              <w:jc w:val="left"/>
            </w:pPr>
            <w:r>
              <w:t xml:space="preserve">960.00</w:t>
            </w:r>
          </w:p>
        </w:tc>
      </w:tr>
      <w:tr>
        <w:tc>
          <w:tcPr/>
          <w:p>
            <w:pPr>
              <w:pStyle w:val="Compact"/>
              <w:jc w:val="left"/>
            </w:pPr>
            <w:r>
              <w:t xml:space="preserve">09</w:t>
            </w:r>
          </w:p>
        </w:tc>
        <w:tc>
          <w:tcPr/>
          <w:p>
            <w:pPr>
              <w:pStyle w:val="Compact"/>
              <w:jc w:val="left"/>
            </w:pPr>
            <w:r>
              <w:t xml:space="preserve">Pharmaceutical waste disposal bags, 120L, 50-pack</w:t>
            </w:r>
          </w:p>
        </w:tc>
        <w:tc>
          <w:tcPr/>
          <w:p>
            <w:pPr>
              <w:pStyle w:val="Compact"/>
              <w:jc w:val="left"/>
            </w:pPr>
            <w:r>
              <w:t xml:space="preserve">Consumable</w:t>
            </w:r>
          </w:p>
        </w:tc>
        <w:tc>
          <w:tcPr/>
          <w:p>
            <w:pPr>
              <w:pStyle w:val="Compact"/>
              <w:jc w:val="left"/>
            </w:pPr>
            <w:r>
              <w:t xml:space="preserve">20</w:t>
            </w:r>
          </w:p>
        </w:tc>
        <w:tc>
          <w:tcPr/>
          <w:p>
            <w:pPr>
              <w:pStyle w:val="Compact"/>
              <w:jc w:val="left"/>
            </w:pPr>
            <w:r>
              <w:t xml:space="preserve">packs</w:t>
            </w:r>
          </w:p>
        </w:tc>
        <w:tc>
          <w:tcPr/>
          <w:p>
            <w:pPr>
              <w:pStyle w:val="Compact"/>
              <w:jc w:val="left"/>
            </w:pPr>
            <w:r>
              <w:t xml:space="preserve">14.20</w:t>
            </w:r>
          </w:p>
        </w:tc>
        <w:tc>
          <w:tcPr/>
          <w:p>
            <w:pPr>
              <w:pStyle w:val="Compact"/>
              <w:jc w:val="left"/>
            </w:pPr>
            <w:r>
              <w:t xml:space="preserve">284.00</w:t>
            </w:r>
          </w:p>
        </w:tc>
      </w:tr>
      <w:tr>
        <w:tc>
          <w:tcPr/>
          <w:p>
            <w:pPr>
              <w:pStyle w:val="Compact"/>
              <w:jc w:val="left"/>
            </w:pPr>
            <w:r>
              <w:t xml:space="preserve">10</w:t>
            </w:r>
          </w:p>
        </w:tc>
        <w:tc>
          <w:tcPr/>
          <w:p>
            <w:pPr>
              <w:pStyle w:val="Compact"/>
              <w:jc w:val="left"/>
            </w:pPr>
            <w:r>
              <w:t xml:space="preserve">Paracetamol 500mg effervescent tablets, 16-count (AIC: 037123459)</w:t>
            </w:r>
          </w:p>
        </w:tc>
        <w:tc>
          <w:tcPr/>
          <w:p>
            <w:pPr>
              <w:pStyle w:val="Compact"/>
              <w:jc w:val="left"/>
            </w:pPr>
            <w:r>
              <w:t xml:space="preserve">Pharmaceutical</w:t>
            </w:r>
          </w:p>
        </w:tc>
        <w:tc>
          <w:tcPr/>
          <w:p>
            <w:pPr>
              <w:pStyle w:val="Compact"/>
              <w:jc w:val="left"/>
            </w:pPr>
            <w:r>
              <w:t xml:space="preserve">250</w:t>
            </w:r>
          </w:p>
        </w:tc>
        <w:tc>
          <w:tcPr/>
          <w:p>
            <w:pPr>
              <w:pStyle w:val="Compact"/>
              <w:jc w:val="left"/>
            </w:pPr>
            <w:r>
              <w:t xml:space="preserve">boxes</w:t>
            </w:r>
          </w:p>
        </w:tc>
        <w:tc>
          <w:tcPr/>
          <w:p>
            <w:pPr>
              <w:pStyle w:val="Compact"/>
              <w:jc w:val="left"/>
            </w:pPr>
            <w:r>
              <w:t xml:space="preserve">3.20</w:t>
            </w:r>
          </w:p>
        </w:tc>
        <w:tc>
          <w:tcPr/>
          <w:p>
            <w:pPr>
              <w:pStyle w:val="Compact"/>
              <w:jc w:val="left"/>
            </w:pPr>
            <w:r>
              <w:t xml:space="preserve">800.00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6,047.50</w:t>
            </w:r>
          </w:p>
        </w:tc>
      </w:tr>
      <w:tr>
        <w:tc>
          <w:tcPr/>
          <w:p>
            <w:pPr>
              <w:pStyle w:val="Compact"/>
              <w:jc w:val="left"/>
            </w:pPr>
            <w:r>
              <w:t xml:space="preserve">VAT (22% — Italian standard rate)</w:t>
            </w:r>
          </w:p>
        </w:tc>
        <w:tc>
          <w:tcPr/>
          <w:p>
            <w:pPr>
              <w:pStyle w:val="Compact"/>
              <w:jc w:val="right"/>
            </w:pPr>
            <w:r>
              <w:t xml:space="preserve">1,330.45</w:t>
            </w:r>
          </w:p>
        </w:tc>
      </w:tr>
      <w:tr>
        <w:tc>
          <w:tcPr/>
          <w:p>
            <w:pPr>
              <w:pStyle w:val="Compact"/>
              <w:jc w:val="left"/>
            </w:pPr>
            <w:r>
              <w:t xml:space="preserve">Delivery &amp; Handling (Rome metropolitan area)</w:t>
            </w:r>
          </w:p>
        </w:tc>
        <w:tc>
          <w:tcPr/>
          <w:p>
            <w:pPr>
              <w:pStyle w:val="Compact"/>
              <w:jc w:val="right"/>
            </w:pPr>
            <w:r>
              <w:t xml:space="preserve">85.00</w:t>
            </w:r>
          </w:p>
        </w:tc>
      </w:tr>
      <w:tr>
        <w:tc>
          <w:tcPr/>
          <w:p>
            <w:pPr>
              <w:pStyle w:val="Compact"/>
              <w:jc w:val="left"/>
            </w:pPr>
            <w:r>
              <w:t xml:space="preserve">Grand Total (EUR)</w:t>
            </w:r>
          </w:p>
        </w:tc>
        <w:tc>
          <w:tcPr/>
          <w:p>
            <w:pPr>
              <w:pStyle w:val="Compact"/>
              <w:jc w:val="right"/>
            </w:pPr>
            <w:r>
              <w:t xml:space="preserve">7,462.95</w:t>
            </w:r>
          </w:p>
        </w:tc>
      </w:tr>
    </w:tbl>
    <w:p>
      <w:pPr>
        <w:pStyle w:val="BodyText"/>
      </w:pPr>
      <w:r>
        <w:t xml:space="preserve">Terms and Conditions — Purchase Order for Chemist Operations in Italy Rome</w:t>
      </w:r>
    </w:p>
    <w:p>
      <w:pPr>
        <w:numPr>
          <w:ilvl w:val="0"/>
          <w:numId w:val="1001"/>
        </w:numPr>
        <w:pStyle w:val="Compact"/>
      </w:pPr>
      <w:r>
        <w:rPr>
          <w:bCs/>
          <w:b/>
        </w:rPr>
        <w:t xml:space="preserve">Governing Law:</w:t>
      </w:r>
      <w:r>
        <w:t xml:space="preserve"> </w:t>
      </w:r>
      <w:r>
        <w:t xml:space="preserve">This Purchase Order shall be governed by and construed in accordance with the laws of the Italian Republic, specifically the Civil Code (Codice Civile) and the regulations issued by the Ministry of Health of Italy Rome regarding the supply of pharmaceutical products to licensed chemists.</w:t>
      </w:r>
    </w:p>
    <w:p>
      <w:pPr>
        <w:numPr>
          <w:ilvl w:val="0"/>
          <w:numId w:val="1001"/>
        </w:numPr>
        <w:pStyle w:val="Compact"/>
      </w:pPr>
      <w:r>
        <w:rPr>
          <w:bCs/>
          <w:b/>
        </w:rPr>
        <w:t xml:space="preserve">Delivery:</w:t>
      </w:r>
      <w:r>
        <w:t xml:space="preserve"> </w:t>
      </w:r>
      <w:r>
        <w:t xml:space="preserve">All goods listed in this Purchase Order shall be delivered to the premises of Pharmacia San Lorenzo, Via dei Coronari 42, 00186 Rome, Italy, no later than 28 June 2025. Delivery times shall be between 08:00 and 17:00 CET, Monday through Friday, excluding Italian public holidays.</w:t>
      </w:r>
    </w:p>
    <w:p>
      <w:pPr>
        <w:numPr>
          <w:ilvl w:val="0"/>
          <w:numId w:val="1001"/>
        </w:numPr>
        <w:pStyle w:val="Compact"/>
      </w:pPr>
      <w:r>
        <w:rPr>
          <w:bCs/>
          <w:b/>
        </w:rPr>
        <w:t xml:space="preserve">Payment Terms:</w:t>
      </w:r>
      <w:r>
        <w:t xml:space="preserve"> </w:t>
      </w:r>
      <w:r>
        <w:t xml:space="preserve">Payment shall be made via bank transfer (bonifico bancario) within 30 days of the date of invoice. The supplier shall issue an electronic invoice (fattura elettronica) compliant with the Italian Agenzia delle Entrate e-invoicing system. IBAN: IT60 X054 2811 1010 0000 0123 456.</w:t>
      </w:r>
    </w:p>
    <w:p>
      <w:pPr>
        <w:numPr>
          <w:ilvl w:val="0"/>
          <w:numId w:val="1001"/>
        </w:numPr>
        <w:pStyle w:val="Compact"/>
      </w:pPr>
      <w:r>
        <w:rPr>
          <w:bCs/>
          <w:b/>
        </w:rPr>
        <w:t xml:space="preserve">Quality Assurance:</w:t>
      </w:r>
      <w:r>
        <w:t xml:space="preserve"> </w:t>
      </w:r>
      <w:r>
        <w:t xml:space="preserve">All pharmaceutical products supplied under this Purchase Order must comply with the standards set by the Italian Medicines Agency (AIFA) and the European Medicines Agency (EMA). The chemist reserves the right to reject any batch that does not meet the required quality specifications or that has an expiry date of less than 12 months from the date of delivery.</w:t>
      </w:r>
    </w:p>
    <w:p>
      <w:pPr>
        <w:numPr>
          <w:ilvl w:val="0"/>
          <w:numId w:val="1001"/>
        </w:numPr>
        <w:pStyle w:val="Compact"/>
      </w:pPr>
      <w:r>
        <w:rPr>
          <w:bCs/>
          <w:b/>
        </w:rPr>
        <w:t xml:space="preserve">Temperature Control:</w:t>
      </w:r>
      <w:r>
        <w:t xml:space="preserve"> </w:t>
      </w:r>
      <w:r>
        <w:t xml:space="preserve">Pharmaceutical items requiring cold-chain storage (2°C to 8°C) must be transported in validated refrigerated containers. The supplier shall provide a temperature log with each cold-chain delivery to the chemist in Italy Rome.</w:t>
      </w:r>
    </w:p>
    <w:p>
      <w:pPr>
        <w:numPr>
          <w:ilvl w:val="0"/>
          <w:numId w:val="1001"/>
        </w:numPr>
        <w:pStyle w:val="Compact"/>
      </w:pPr>
      <w:r>
        <w:rPr>
          <w:bCs/>
          <w:b/>
        </w:rPr>
        <w:t xml:space="preserve">Warranty:</w:t>
      </w:r>
      <w:r>
        <w:t xml:space="preserve"> </w:t>
      </w:r>
      <w:r>
        <w:t xml:space="preserve">All non-pharmaceutical equipment (blood pressure monitors, thermometers, shelving units) carries a minimum 24-month manufacturer warranty. The supplier shall coordinate any warranty claims on behalf of the chemist.</w:t>
      </w:r>
    </w:p>
    <w:p>
      <w:pPr>
        <w:numPr>
          <w:ilvl w:val="0"/>
          <w:numId w:val="1001"/>
        </w:numPr>
        <w:pStyle w:val="Compact"/>
      </w:pPr>
      <w:r>
        <w:rPr>
          <w:bCs/>
          <w:b/>
        </w:rPr>
        <w:t xml:space="preserve">Regulatory Compliance:</w:t>
      </w:r>
      <w:r>
        <w:t xml:space="preserve"> </w:t>
      </w:r>
      <w:r>
        <w:t xml:space="preserve">The supplier warrants that all products are registered with AIFA and that the necessary import/export documentation, where applicable, is in full compliance with Italian and EU pharmaceutical regulations. The chemist in Italy Rome shall not be held liable for any regulatory non-compliance originating from the supplier.</w:t>
      </w:r>
    </w:p>
    <w:p>
      <w:pPr>
        <w:numPr>
          <w:ilvl w:val="0"/>
          <w:numId w:val="1001"/>
        </w:numPr>
        <w:pStyle w:val="Compact"/>
      </w:pPr>
      <w:r>
        <w:rPr>
          <w:bCs/>
          <w:b/>
        </w:rPr>
        <w:t xml:space="preserve">Force Majeure:</w:t>
      </w:r>
      <w:r>
        <w:t xml:space="preserve"> </w:t>
      </w:r>
      <w:r>
        <w:t xml:space="preserve">Neither party shall be liable for failure to perform obligations under this Purchase Order due to events beyond reasonable control, including but not limited to natural disasters, government sanctions, or public health emergencies affecting the Rome metropolitan area.</w:t>
      </w:r>
    </w:p>
    <w:p>
      <w:pPr>
        <w:numPr>
          <w:ilvl w:val="0"/>
          <w:numId w:val="1001"/>
        </w:numPr>
        <w:pStyle w:val="Compact"/>
      </w:pPr>
      <w:r>
        <w:rPr>
          <w:bCs/>
          <w:b/>
        </w:rPr>
        <w:t xml:space="preserve">Dispute Resolution:</w:t>
      </w:r>
      <w:r>
        <w:t xml:space="preserve"> </w:t>
      </w:r>
      <w:r>
        <w:t xml:space="preserve">Any dispute arising from this Purchase Order shall be resolved through the competent courts of Rome, Italy. Both parties agree to attempt mediation before initiating formal legal proceedings.</w:t>
      </w:r>
    </w:p>
    <w:p>
      <w:pPr>
        <w:numPr>
          <w:ilvl w:val="0"/>
          <w:numId w:val="1001"/>
        </w:numPr>
        <w:pStyle w:val="Compact"/>
      </w:pPr>
      <w:r>
        <w:rPr>
          <w:bCs/>
          <w:b/>
        </w:rPr>
        <w:t xml:space="preserve">Confidentiality:</w:t>
      </w:r>
      <w:r>
        <w:t xml:space="preserve"> </w:t>
      </w:r>
      <w:r>
        <w:t xml:space="preserve">All pricing, order volumes, and business terms contained in this Purchase Order are confidential and shall not be disclosed to third parties without written consent from both the chemist and the supplier.</w:t>
      </w:r>
    </w:p>
    <w:p>
      <w:pPr>
        <w:pStyle w:val="FirstParagraph"/>
      </w:pPr>
      <w:r>
        <w:t xml:space="preserve">Authorisation &amp; Signatures</w:t>
      </w:r>
    </w:p>
    <w:p>
      <w:pPr>
        <w:pStyle w:val="BodyText"/>
      </w:pPr>
      <w:r>
        <w:t xml:space="preserve">This Purchase Order is issued and authorised by the undersigned on behalf of Pharmacia San Lorenzo, a registered chemist in Italy Rome. The supplier acknowledges receipt and acceptance of this Purchase Order by signing below, thereby committing to fulfil all line items and conditions as specified herein.</w:t>
      </w:r>
    </w:p>
    <w:p>
      <w:pPr>
        <w:pStyle w:val="BodyText"/>
      </w:pPr>
      <w:r>
        <w:rPr>
          <w:bCs/>
          <w:b/>
        </w:rPr>
        <w:t xml:space="preserve">Dott.ssa Maria Conti</w:t>
      </w:r>
      <w:r>
        <w:br/>
      </w:r>
      <w:r>
        <w:t xml:space="preserve">Owner &amp; Responsible Pharmacist</w:t>
      </w:r>
      <w:r>
        <w:br/>
      </w:r>
      <w:r>
        <w:t xml:space="preserve">Pharmacia San Lorenzo, Rome, Italy</w:t>
      </w:r>
      <w:r>
        <w:br/>
      </w:r>
      <w:r>
        <w:t xml:space="preserve">Date: _______________</w:t>
      </w:r>
    </w:p>
    <w:p>
      <w:pPr>
        <w:pStyle w:val="BodyText"/>
      </w:pPr>
      <w:r>
        <w:rPr>
          <w:bCs/>
          <w:b/>
        </w:rPr>
        <w:t xml:space="preserve">Ing. Paolo Ferrante</w:t>
      </w:r>
      <w:r>
        <w:br/>
      </w:r>
      <w:r>
        <w:t xml:space="preserve">Sales Director</w:t>
      </w:r>
      <w:r>
        <w:br/>
      </w:r>
      <w:r>
        <w:t xml:space="preserve">MedSupply Italia S.r.l., Rome, Italy</w:t>
      </w:r>
      <w:r>
        <w:br/>
      </w:r>
      <w:r>
        <w:t xml:space="preserve">Date: _______________</w:t>
      </w:r>
    </w:p>
    <w:p>
      <w:pPr>
        <w:pStyle w:val="BodyText"/>
      </w:pPr>
      <w:r>
        <w:t xml:space="preserve">Purchase Order IT-RM-2025-04872 — Issued for Chemist (Pharmacy) Operations in Italy Rome</w:t>
      </w:r>
    </w:p>
    <w:p>
      <w:pPr>
        <w:pStyle w:val="BodyText"/>
      </w:pPr>
      <w:r>
        <w:t xml:space="preserve">Pharmacia San Lorenzo • Via dei Coronari 42, 00186 Rome (RM), Italy • VAT IT01234567890</w:t>
      </w:r>
    </w:p>
    <w:p>
      <w:pPr>
        <w:pStyle w:val="BodyText"/>
      </w:pPr>
      <w:r>
        <w:t xml:space="preserve">This document is valid only when signed by both parties. Unauthorised reproduction is prohibited under Italian law.</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Chemist Rome, Italy</dc:title>
  <dc:creator/>
  <dc:language>en</dc:language>
  <cp:keywords/>
  <dcterms:created xsi:type="dcterms:W3CDTF">2026-10-10T02:32:58Z</dcterms:created>
  <dcterms:modified xsi:type="dcterms:W3CDTF">2026-10-10T02:32:58Z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