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Japan</w:t>
      </w:r>
      <w:r>
        <w:t xml:space="preserve"> </w:t>
      </w:r>
      <w:r>
        <w:t xml:space="preserve">Osaka</w:t>
      </w:r>
    </w:p>
    <w:bookmarkStart w:id="29" w:name="purchase-order"/>
    <w:p>
      <w:pPr>
        <w:pStyle w:val="Heading1"/>
      </w:pPr>
      <w:r>
        <w:t xml:space="preserve">PURCHASE ORDER</w:t>
      </w:r>
    </w:p>
    <w:p>
      <w:pPr>
        <w:pStyle w:val="FirstParagraph"/>
      </w:pPr>
      <w:r>
        <w:t xml:space="preserve">Chemist &amp; Pharmaceutical Supplies</w:t>
      </w:r>
      <w:r>
        <w:t xml:space="preserve"> </w:t>
      </w:r>
      <w:r>
        <w:t xml:space="preserve"> </w:t>
      </w:r>
      <w:r>
        <w:t xml:space="preserve"> </w:t>
      </w:r>
      <w:r>
        <w:t xml:space="preserve">Japan Osaka</w:t>
      </w:r>
    </w:p>
    <w:p>
      <w:pPr>
        <w:pStyle w:val="BodyText"/>
      </w:pPr>
      <w:r>
        <w:rPr>
          <w:bCs/>
          <w:b/>
        </w:rPr>
        <w:t xml:space="preserve">Purchase Order Number:</w:t>
      </w:r>
      <w:r>
        <w:t xml:space="preserve"> </w:t>
      </w:r>
      <w:r>
        <w:t xml:space="preserve">PO-OSK-2025-04872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Issuing Entity:</w:t>
      </w:r>
      <w:r>
        <w:t xml:space="preserve"> </w:t>
      </w:r>
      <w:r>
        <w:t xml:space="preserve">Kinki Pharmaceutical Research Institute</w:t>
      </w:r>
      <w:r>
        <w:br/>
      </w:r>
      <w:r>
        <w:rPr>
          <w:bCs/>
          <w:b/>
        </w:rPr>
        <w:t xml:space="preserve">Address:</w:t>
      </w:r>
      <w:r>
        <w:t xml:space="preserve"> </w:t>
      </w:r>
      <w:r>
        <w:t xml:space="preserve">3-12-8 Tennoji, Chuo-ku, Osaka 541-0053, Japan</w:t>
      </w:r>
      <w:r>
        <w:br/>
      </w:r>
      <w:r>
        <w:rPr>
          <w:bCs/>
          <w:b/>
        </w:rPr>
        <w:t xml:space="preserve">Contact:</w:t>
      </w:r>
      <w:r>
        <w:t xml:space="preserve"> </w:t>
      </w:r>
      <w:r>
        <w:t xml:space="preserve">procurement@kinki-pharma-ri.jp</w:t>
      </w:r>
      <w:r>
        <w:br/>
      </w:r>
      <w:r>
        <w:rPr>
          <w:bCs/>
          <w:b/>
        </w:rPr>
        <w:t xml:space="preserve">Phone:</w:t>
      </w:r>
      <w:r>
        <w:t xml:space="preserve"> </w:t>
      </w:r>
      <w:r>
        <w:t xml:space="preserve">+81-6-6771-4420</w:t>
      </w:r>
    </w:p>
    <w:bookmarkStart w:id="20" w:name="supplier-chemist-details"/>
    <w:p>
      <w:pPr>
        <w:pStyle w:val="Heading2"/>
      </w:pPr>
      <w:r>
        <w:t xml:space="preserve">1. Supplier / Chemist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Osaka Central Chemist Co., Ltd. (大阪中央薬剤師株式会社)</w:t>
            </w:r>
          </w:p>
        </w:tc>
      </w:tr>
      <w:tr>
        <w:tc>
          <w:tcPr/>
          <w:p>
            <w:pPr>
              <w:pStyle w:val="Compact"/>
              <w:jc w:val="left"/>
            </w:pPr>
            <w:r>
              <w:t xml:space="preserve">Registered Address</w:t>
            </w:r>
          </w:p>
        </w:tc>
        <w:tc>
          <w:tcPr/>
          <w:p>
            <w:pPr>
              <w:pStyle w:val="Compact"/>
              <w:jc w:val="left"/>
            </w:pPr>
            <w:r>
              <w:t xml:space="preserve">15-4 Namba, Chuo-ku, Osaka 542-0073, Japan</w:t>
            </w:r>
          </w:p>
        </w:tc>
      </w:tr>
      <w:tr>
        <w:tc>
          <w:tcPr/>
          <w:p>
            <w:pPr>
              <w:pStyle w:val="Compact"/>
              <w:jc w:val="left"/>
            </w:pPr>
            <w:r>
              <w:t xml:space="preserve">Chemist License No.</w:t>
            </w:r>
          </w:p>
        </w:tc>
        <w:tc>
          <w:tcPr/>
          <w:p>
            <w:pPr>
              <w:pStyle w:val="Compact"/>
              <w:jc w:val="left"/>
            </w:pPr>
            <w:r>
              <w:t xml:space="preserve">OSK-CHM-2019-00347 (Issued by Osaka Prefectural Board of Pharmacy)</w:t>
            </w:r>
          </w:p>
        </w:tc>
      </w:tr>
      <w:tr>
        <w:tc>
          <w:tcPr/>
          <w:p>
            <w:pPr>
              <w:pStyle w:val="Compact"/>
              <w:jc w:val="left"/>
            </w:pPr>
            <w:r>
              <w:t xml:space="preserve">Corporate Registration</w:t>
            </w:r>
          </w:p>
        </w:tc>
        <w:tc>
          <w:tcPr/>
          <w:p>
            <w:pPr>
              <w:pStyle w:val="Compact"/>
              <w:jc w:val="left"/>
            </w:pPr>
            <w:r>
              <w:t xml:space="preserve">Osaka City Commercial Registry No. 44821</w:t>
            </w:r>
          </w:p>
        </w:tc>
      </w:tr>
      <w:tr>
        <w:tc>
          <w:tcPr/>
          <w:p>
            <w:pPr>
              <w:pStyle w:val="Compact"/>
              <w:jc w:val="left"/>
            </w:pPr>
            <w:r>
              <w:t xml:space="preserve">Primary Contact</w:t>
            </w:r>
          </w:p>
        </w:tc>
        <w:tc>
          <w:tcPr/>
          <w:p>
            <w:pPr>
              <w:pStyle w:val="Compact"/>
              <w:jc w:val="left"/>
            </w:pPr>
            <w:r>
              <w:t xml:space="preserve">Mr. Kenji Tanaka, Senior Chemist &amp; Procurement Manager</w:t>
            </w:r>
          </w:p>
        </w:tc>
      </w:tr>
      <w:tr>
        <w:tc>
          <w:tcPr/>
          <w:p>
            <w:pPr>
              <w:pStyle w:val="Compact"/>
              <w:jc w:val="left"/>
            </w:pPr>
            <w:r>
              <w:t xml:space="preserve">Email</w:t>
            </w:r>
          </w:p>
        </w:tc>
        <w:tc>
          <w:tcPr/>
          <w:p>
            <w:pPr>
              <w:pStyle w:val="Compact"/>
              <w:jc w:val="left"/>
            </w:pPr>
            <w:r>
              <w:t xml:space="preserve">orders@osaka-central-chemist.co.jp</w:t>
            </w:r>
          </w:p>
        </w:tc>
      </w:tr>
      <w:tr>
        <w:tc>
          <w:tcPr/>
          <w:p>
            <w:pPr>
              <w:pStyle w:val="Compact"/>
              <w:jc w:val="left"/>
            </w:pPr>
            <w:r>
              <w:t xml:space="preserve">Phone</w:t>
            </w:r>
          </w:p>
        </w:tc>
        <w:tc>
          <w:tcPr/>
          <w:p>
            <w:pPr>
              <w:pStyle w:val="Compact"/>
              <w:jc w:val="left"/>
            </w:pPr>
            <w:r>
              <w:t xml:space="preserve">+81-6-4702-8891</w:t>
            </w:r>
          </w:p>
        </w:tc>
      </w:tr>
      <w:tr>
        <w:tc>
          <w:tcPr/>
          <w:p>
            <w:pPr>
              <w:pStyle w:val="Compact"/>
              <w:jc w:val="left"/>
            </w:pPr>
            <w:r>
              <w:t xml:space="preserve">Tax Identification (TIN)</w:t>
            </w:r>
          </w:p>
        </w:tc>
        <w:tc>
          <w:tcPr/>
          <w:p>
            <w:pPr>
              <w:pStyle w:val="Compact"/>
              <w:jc w:val="left"/>
            </w:pPr>
            <w:r>
              <w:t xml:space="preserve">4010001234567</w:t>
            </w:r>
          </w:p>
        </w:tc>
      </w:tr>
    </w:tbl>
    <w:bookmarkEnd w:id="20"/>
    <w:bookmarkStart w:id="21" w:name="purchase-order-summary"/>
    <w:p>
      <w:pPr>
        <w:pStyle w:val="Heading2"/>
      </w:pPr>
      <w:r>
        <w:t xml:space="preserve">2. Purchase Order Summary</w:t>
      </w:r>
    </w:p>
    <w:p>
      <w:pPr>
        <w:pStyle w:val="FirstParagraph"/>
      </w:pPr>
      <w:r>
        <w:t xml:space="preserve">This Purchase Order is issued by the Kinki Pharmaceutical Research Institute, located in Osaka, Japan, to Osaka Central Chemist Co., Ltd., a licensed chemist and pharmaceutical supplier operating in the Osaka metropolitan area. This document constitutes a binding request for the supply of chemical reagents, laboratory consumables, and pharmaceutical-grade compounds as itemized below. All transactions governed by this Purchase Order shall comply with the Pharmaceutical and Medical Device Act of Japan (薬事法), the Osaka Prefectural Chemical Safety Regulations, and applicable international trade standards.</w:t>
      </w:r>
    </w:p>
    <w:bookmarkEnd w:id="21"/>
    <w:bookmarkStart w:id="22" w:name="itemized-order-chemist-supplies"/>
    <w:p>
      <w:pPr>
        <w:pStyle w:val="Heading2"/>
      </w:pPr>
      <w:r>
        <w:t xml:space="preserve">3. Itemized Order – Chemist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Chemist Grade / Purity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01</w:t>
            </w:r>
          </w:p>
        </w:tc>
        <w:tc>
          <w:tcPr/>
          <w:p>
            <w:pPr>
              <w:pStyle w:val="Compact"/>
              <w:jc w:val="left"/>
            </w:pPr>
            <w:r>
              <w:t xml:space="preserve">Sodium Chloride, Anhydrous (NaCl)</w:t>
            </w:r>
          </w:p>
        </w:tc>
        <w:tc>
          <w:tcPr/>
          <w:p>
            <w:pPr>
              <w:pStyle w:val="Compact"/>
              <w:jc w:val="left"/>
            </w:pPr>
            <w:r>
              <w:t xml:space="preserve">Pharmaceutical Grade, 99.9%</w:t>
            </w:r>
          </w:p>
        </w:tc>
        <w:tc>
          <w:tcPr/>
          <w:p>
            <w:pPr>
              <w:pStyle w:val="Compact"/>
              <w:jc w:val="left"/>
            </w:pPr>
            <w:r>
              <w:t xml:space="preserve">kg</w:t>
            </w:r>
          </w:p>
        </w:tc>
        <w:tc>
          <w:tcPr/>
          <w:p>
            <w:pPr>
              <w:pStyle w:val="Compact"/>
              <w:jc w:val="left"/>
            </w:pPr>
            <w:r>
              <w:t xml:space="preserve">50</w:t>
            </w:r>
          </w:p>
        </w:tc>
        <w:tc>
          <w:tcPr/>
          <w:p>
            <w:pPr>
              <w:pStyle w:val="Compact"/>
              <w:jc w:val="left"/>
            </w:pPr>
            <w:r>
              <w:t xml:space="preserve">1,240</w:t>
            </w:r>
          </w:p>
        </w:tc>
        <w:tc>
          <w:tcPr/>
          <w:p>
            <w:pPr>
              <w:pStyle w:val="Compact"/>
              <w:jc w:val="left"/>
            </w:pPr>
            <w:r>
              <w:t xml:space="preserve">62,000</w:t>
            </w:r>
          </w:p>
        </w:tc>
      </w:tr>
      <w:tr>
        <w:tc>
          <w:tcPr/>
          <w:p>
            <w:pPr>
              <w:pStyle w:val="Compact"/>
              <w:jc w:val="left"/>
            </w:pPr>
            <w:r>
              <w:t xml:space="preserve">02</w:t>
            </w:r>
          </w:p>
        </w:tc>
        <w:tc>
          <w:tcPr/>
          <w:p>
            <w:pPr>
              <w:pStyle w:val="Compact"/>
              <w:jc w:val="left"/>
            </w:pPr>
            <w:r>
              <w:t xml:space="preserve">Acetone (Propanone)</w:t>
            </w:r>
          </w:p>
        </w:tc>
        <w:tc>
          <w:tcPr/>
          <w:p>
            <w:pPr>
              <w:pStyle w:val="Compact"/>
              <w:jc w:val="left"/>
            </w:pPr>
            <w:r>
              <w:t xml:space="preserve">Reagent Grade, 99.8%</w:t>
            </w:r>
          </w:p>
        </w:tc>
        <w:tc>
          <w:tcPr/>
          <w:p>
            <w:pPr>
              <w:pStyle w:val="Compact"/>
              <w:jc w:val="left"/>
            </w:pPr>
            <w:r>
              <w:t xml:space="preserve">L</w:t>
            </w:r>
          </w:p>
        </w:tc>
        <w:tc>
          <w:tcPr/>
          <w:p>
            <w:pPr>
              <w:pStyle w:val="Compact"/>
              <w:jc w:val="left"/>
            </w:pPr>
            <w:r>
              <w:t xml:space="preserve">200</w:t>
            </w:r>
          </w:p>
        </w:tc>
        <w:tc>
          <w:tcPr/>
          <w:p>
            <w:pPr>
              <w:pStyle w:val="Compact"/>
              <w:jc w:val="left"/>
            </w:pPr>
            <w:r>
              <w:t xml:space="preserve">890</w:t>
            </w:r>
          </w:p>
        </w:tc>
        <w:tc>
          <w:tcPr/>
          <w:p>
            <w:pPr>
              <w:pStyle w:val="Compact"/>
              <w:jc w:val="left"/>
            </w:pPr>
            <w:r>
              <w:t xml:space="preserve">178,000</w:t>
            </w:r>
          </w:p>
        </w:tc>
      </w:tr>
      <w:tr>
        <w:tc>
          <w:tcPr/>
          <w:p>
            <w:pPr>
              <w:pStyle w:val="Compact"/>
              <w:jc w:val="left"/>
            </w:pPr>
            <w:r>
              <w:t xml:space="preserve">03</w:t>
            </w:r>
          </w:p>
        </w:tc>
        <w:tc>
          <w:tcPr/>
          <w:p>
            <w:pPr>
              <w:pStyle w:val="Compact"/>
              <w:jc w:val="left"/>
            </w:pPr>
            <w:r>
              <w:t xml:space="preserve">Hydrochloric Acid, 37% (HCl)</w:t>
            </w:r>
          </w:p>
        </w:tc>
        <w:tc>
          <w:tcPr/>
          <w:p>
            <w:pPr>
              <w:pStyle w:val="Compact"/>
              <w:jc w:val="left"/>
            </w:pPr>
            <w:r>
              <w:t xml:space="preserve">Chemist Laboratory Grade</w:t>
            </w:r>
          </w:p>
        </w:tc>
        <w:tc>
          <w:tcPr/>
          <w:p>
            <w:pPr>
              <w:pStyle w:val="Compact"/>
              <w:jc w:val="left"/>
            </w:pPr>
            <w:r>
              <w:t xml:space="preserve">L</w:t>
            </w:r>
          </w:p>
        </w:tc>
        <w:tc>
          <w:tcPr/>
          <w:p>
            <w:pPr>
              <w:pStyle w:val="Compact"/>
              <w:jc w:val="left"/>
            </w:pPr>
            <w:r>
              <w:t xml:space="preserve">100</w:t>
            </w:r>
          </w:p>
        </w:tc>
        <w:tc>
          <w:tcPr/>
          <w:p>
            <w:pPr>
              <w:pStyle w:val="Compact"/>
              <w:jc w:val="left"/>
            </w:pPr>
            <w:r>
              <w:t xml:space="preserve">1,560</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Potassium Permanganate (KMnO₄)</w:t>
            </w:r>
          </w:p>
        </w:tc>
        <w:tc>
          <w:tcPr/>
          <w:p>
            <w:pPr>
              <w:pStyle w:val="Compact"/>
              <w:jc w:val="left"/>
            </w:pPr>
            <w:r>
              <w:t xml:space="preserve">Pharmaceutical Grade, 99.5%</w:t>
            </w:r>
          </w:p>
        </w:tc>
        <w:tc>
          <w:tcPr/>
          <w:p>
            <w:pPr>
              <w:pStyle w:val="Compact"/>
              <w:jc w:val="left"/>
            </w:pPr>
            <w:r>
              <w:t xml:space="preserve">kg</w:t>
            </w:r>
          </w:p>
        </w:tc>
        <w:tc>
          <w:tcPr/>
          <w:p>
            <w:pPr>
              <w:pStyle w:val="Compact"/>
              <w:jc w:val="left"/>
            </w:pPr>
            <w:r>
              <w:t xml:space="preserve">25</w:t>
            </w:r>
          </w:p>
        </w:tc>
        <w:tc>
          <w:tcPr/>
          <w:p>
            <w:pPr>
              <w:pStyle w:val="Compact"/>
              <w:jc w:val="left"/>
            </w:pPr>
            <w:r>
              <w:t xml:space="preserve">4,800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Paracetamol (Acetaminophen) API</w:t>
            </w:r>
          </w:p>
        </w:tc>
        <w:tc>
          <w:tcPr/>
          <w:p>
            <w:pPr>
              <w:pStyle w:val="Compact"/>
              <w:jc w:val="left"/>
            </w:pPr>
            <w:r>
              <w:t xml:space="preserve">USP/JP Grade, 98.0–102.0%</w:t>
            </w:r>
          </w:p>
        </w:tc>
        <w:tc>
          <w:tcPr/>
          <w:p>
            <w:pPr>
              <w:pStyle w:val="Compact"/>
              <w:jc w:val="left"/>
            </w:pPr>
            <w:r>
              <w:t xml:space="preserve">kg</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Microcentrifuge Tubes, 1.5 mL (Pack of 500)</w:t>
            </w:r>
          </w:p>
        </w:tc>
        <w:tc>
          <w:tcPr/>
          <w:p>
            <w:pPr>
              <w:pStyle w:val="Compact"/>
              <w:jc w:val="left"/>
            </w:pPr>
            <w:r>
              <w:t xml:space="preserve">Chemist Lab Consumable</w:t>
            </w:r>
          </w:p>
        </w:tc>
        <w:tc>
          <w:tcPr/>
          <w:p>
            <w:pPr>
              <w:pStyle w:val="Compact"/>
              <w:jc w:val="left"/>
            </w:pPr>
            <w:r>
              <w:t xml:space="preserve">Pack</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07</w:t>
            </w:r>
          </w:p>
        </w:tc>
        <w:tc>
          <w:tcPr/>
          <w:p>
            <w:pPr>
              <w:pStyle w:val="Compact"/>
              <w:jc w:val="left"/>
            </w:pPr>
            <w:r>
              <w:t xml:space="preserve">Silica Gel, 230–325 Mesh</w:t>
            </w:r>
          </w:p>
        </w:tc>
        <w:tc>
          <w:tcPr/>
          <w:p>
            <w:pPr>
              <w:pStyle w:val="Compact"/>
              <w:jc w:val="left"/>
            </w:pPr>
            <w:r>
              <w:t xml:space="preserve">Chemist Chromatography Grade</w:t>
            </w:r>
          </w:p>
        </w:tc>
        <w:tc>
          <w:tcPr/>
          <w:p>
            <w:pPr>
              <w:pStyle w:val="Compact"/>
              <w:jc w:val="left"/>
            </w:pPr>
            <w:r>
              <w:t xml:space="preserve">kg</w:t>
            </w:r>
          </w:p>
        </w:tc>
        <w:tc>
          <w:tcPr/>
          <w:p>
            <w:pPr>
              <w:pStyle w:val="Compact"/>
              <w:jc w:val="left"/>
            </w:pPr>
            <w:r>
              <w:t xml:space="preserve">15</w:t>
            </w:r>
          </w:p>
        </w:tc>
        <w:tc>
          <w:tcPr/>
          <w:p>
            <w:pPr>
              <w:pStyle w:val="Compact"/>
              <w:jc w:val="left"/>
            </w:pPr>
            <w:r>
              <w:t xml:space="preserve">6,400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Dimethyl Sulfoxide (DMSO)</w:t>
            </w:r>
          </w:p>
        </w:tc>
        <w:tc>
          <w:tcPr/>
          <w:p>
            <w:pPr>
              <w:pStyle w:val="Compact"/>
              <w:jc w:val="left"/>
            </w:pPr>
            <w:r>
              <w:t xml:space="preserve">Pharmaceutical Grade, 99.9%</w:t>
            </w:r>
          </w:p>
        </w:tc>
        <w:tc>
          <w:tcPr/>
          <w:p>
            <w:pPr>
              <w:pStyle w:val="Compact"/>
              <w:jc w:val="left"/>
            </w:pPr>
            <w:r>
              <w:t xml:space="preserve">L</w:t>
            </w:r>
          </w:p>
        </w:tc>
        <w:tc>
          <w:tcPr/>
          <w:p>
            <w:pPr>
              <w:pStyle w:val="Compact"/>
              <w:jc w:val="left"/>
            </w:pPr>
            <w:r>
              <w:t xml:space="preserve">50</w:t>
            </w:r>
          </w:p>
        </w:tc>
        <w:tc>
          <w:tcPr/>
          <w:p>
            <w:pPr>
              <w:pStyle w:val="Compact"/>
              <w:jc w:val="left"/>
            </w:pPr>
            <w:r>
              <w:t xml:space="preserve">5,200</w:t>
            </w:r>
          </w:p>
        </w:tc>
        <w:tc>
          <w:tcPr/>
          <w:p>
            <w:pPr>
              <w:pStyle w:val="Compact"/>
              <w:jc w:val="left"/>
            </w:pPr>
            <w:r>
              <w:t xml:space="preserve">260,000</w:t>
            </w:r>
          </w:p>
        </w:tc>
      </w:tr>
      <w:tr>
        <w:tc>
          <w:tcPr/>
          <w:p>
            <w:pPr>
              <w:pStyle w:val="Compact"/>
              <w:jc w:val="left"/>
            </w:pPr>
            <w:r>
              <w:t xml:space="preserve">09</w:t>
            </w:r>
          </w:p>
        </w:tc>
        <w:tc>
          <w:tcPr/>
          <w:p>
            <w:pPr>
              <w:pStyle w:val="Compact"/>
              <w:jc w:val="left"/>
            </w:pPr>
            <w:r>
              <w:t xml:space="preserve">Gloves, Nitrile, Size M (Box of 100)</w:t>
            </w:r>
          </w:p>
        </w:tc>
        <w:tc>
          <w:tcPr/>
          <w:p>
            <w:pPr>
              <w:pStyle w:val="Compact"/>
              <w:jc w:val="left"/>
            </w:pPr>
            <w:r>
              <w:t xml:space="preserve">Chemist PPE Standard</w:t>
            </w:r>
          </w:p>
        </w:tc>
        <w:tc>
          <w:tcPr/>
          <w:p>
            <w:pPr>
              <w:pStyle w:val="Compact"/>
              <w:jc w:val="left"/>
            </w:pPr>
            <w:r>
              <w:t xml:space="preserve">Box</w:t>
            </w:r>
          </w:p>
        </w:tc>
        <w:tc>
          <w:tcPr/>
          <w:p>
            <w:pPr>
              <w:pStyle w:val="Compact"/>
              <w:jc w:val="left"/>
            </w:pPr>
            <w:r>
              <w:t xml:space="preserve">60</w:t>
            </w:r>
          </w:p>
        </w:tc>
        <w:tc>
          <w:tcPr/>
          <w:p>
            <w:pPr>
              <w:pStyle w:val="Compact"/>
              <w:jc w:val="left"/>
            </w:pPr>
            <w:r>
              <w:t xml:space="preserve">2,100</w:t>
            </w:r>
          </w:p>
        </w:tc>
        <w:tc>
          <w:tcPr/>
          <w:p>
            <w:pPr>
              <w:pStyle w:val="Compact"/>
              <w:jc w:val="left"/>
            </w:pPr>
            <w:r>
              <w:t xml:space="preserve">126,000</w:t>
            </w:r>
          </w:p>
        </w:tc>
      </w:tr>
      <w:tr>
        <w:tc>
          <w:tcPr/>
          <w:p>
            <w:pPr>
              <w:pStyle w:val="Compact"/>
              <w:jc w:val="left"/>
            </w:pPr>
            <w:r>
              <w:t xml:space="preserve">10</w:t>
            </w:r>
          </w:p>
        </w:tc>
        <w:tc>
          <w:tcPr/>
          <w:p>
            <w:pPr>
              <w:pStyle w:val="Compact"/>
              <w:jc w:val="left"/>
            </w:pPr>
            <w:r>
              <w:t xml:space="preserve">Deionized Water, 18.2 MΩ·cm</w:t>
            </w:r>
          </w:p>
        </w:tc>
        <w:tc>
          <w:tcPr/>
          <w:p>
            <w:pPr>
              <w:pStyle w:val="Compact"/>
              <w:jc w:val="left"/>
            </w:pPr>
            <w:r>
              <w:t xml:space="preserve">Chemist Ultra-Pure Grade</w:t>
            </w:r>
          </w:p>
        </w:tc>
        <w:tc>
          <w:tcPr/>
          <w:p>
            <w:pPr>
              <w:pStyle w:val="Compact"/>
              <w:jc w:val="left"/>
            </w:pPr>
            <w:r>
              <w:t xml:space="preserve">L</w:t>
            </w:r>
          </w:p>
        </w:tc>
        <w:tc>
          <w:tcPr/>
          <w:p>
            <w:pPr>
              <w:pStyle w:val="Compact"/>
              <w:jc w:val="left"/>
            </w:pPr>
            <w:r>
              <w:t xml:space="preserve">500</w:t>
            </w:r>
          </w:p>
        </w:tc>
        <w:tc>
          <w:tcPr/>
          <w:p>
            <w:pPr>
              <w:pStyle w:val="Compact"/>
              <w:jc w:val="left"/>
            </w:pPr>
            <w:r>
              <w:t xml:space="preserve">320</w:t>
            </w:r>
          </w:p>
        </w:tc>
        <w:tc>
          <w:tcPr/>
          <w:p>
            <w:pPr>
              <w:pStyle w:val="Compact"/>
              <w:jc w:val="left"/>
            </w:pPr>
            <w:r>
              <w:t xml:space="preserve">160,000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(Items 01–10)</w:t>
            </w:r>
          </w:p>
        </w:tc>
        <w:tc>
          <w:tcPr/>
          <w:p>
            <w:pPr>
              <w:pStyle w:val="Compact"/>
              <w:jc w:val="left"/>
            </w:pPr>
            <w:r>
              <w:t xml:space="preserve">1,471,000</w:t>
            </w:r>
          </w:p>
        </w:tc>
      </w:tr>
      <w:tr>
        <w:tc>
          <w:tcPr/>
          <w:p>
            <w:pPr>
              <w:pStyle w:val="Compact"/>
              <w:jc w:val="left"/>
            </w:pPr>
            <w:r>
              <w:t xml:space="preserve">Consumable Tax (10% – Japan Consumption Tax)</w:t>
            </w:r>
          </w:p>
        </w:tc>
        <w:tc>
          <w:tcPr/>
          <w:p>
            <w:pPr>
              <w:pStyle w:val="Compact"/>
              <w:jc w:val="left"/>
            </w:pPr>
            <w:r>
              <w:t xml:space="preserve">147,100</w:t>
            </w:r>
          </w:p>
        </w:tc>
      </w:tr>
      <w:tr>
        <w:tc>
          <w:tcPr/>
          <w:p>
            <w:pPr>
              <w:pStyle w:val="Compact"/>
              <w:jc w:val="left"/>
            </w:pPr>
            <w:r>
              <w:t xml:space="preserve">Freight &amp; Delivery (within Osaka Prefecture)</w:t>
            </w:r>
          </w:p>
        </w:tc>
        <w:tc>
          <w:tcPr/>
          <w:p>
            <w:pPr>
              <w:pStyle w:val="Compact"/>
              <w:jc w:val="left"/>
            </w:pPr>
            <w:r>
              <w:t xml:space="preserve">28,500</w:t>
            </w:r>
          </w:p>
        </w:tc>
      </w:tr>
      <w:tr>
        <w:tc>
          <w:tcPr/>
          <w:p>
            <w:pPr>
              <w:pStyle w:val="Compact"/>
              <w:jc w:val="left"/>
            </w:pPr>
            <w:r>
              <w:t xml:space="preserve">Hazardous Material Handling Surcharge</w:t>
            </w:r>
          </w:p>
        </w:tc>
        <w:tc>
          <w:tcPr/>
          <w:p>
            <w:pPr>
              <w:pStyle w:val="Compact"/>
              <w:jc w:val="left"/>
            </w:pPr>
            <w:r>
              <w:t xml:space="preserve">15,000</w:t>
            </w:r>
          </w:p>
        </w:tc>
      </w:tr>
      <w:tr>
        <w:tc>
          <w:tcPr/>
          <w:p>
            <w:pPr>
              <w:pStyle w:val="Compact"/>
              <w:jc w:val="left"/>
            </w:pPr>
            <w:r>
              <w:rPr>
                <w:bCs/>
                <w:b/>
              </w:rPr>
              <w:t xml:space="preserve">Grand Total</w:t>
            </w:r>
          </w:p>
        </w:tc>
        <w:tc>
          <w:tcPr/>
          <w:p>
            <w:pPr>
              <w:pStyle w:val="Compact"/>
              <w:jc w:val="left"/>
            </w:pPr>
            <w:r>
              <w:rPr>
                <w:bCs/>
                <w:b/>
              </w:rPr>
              <w:t xml:space="preserve">1,661,600</w:t>
            </w:r>
          </w:p>
        </w:tc>
      </w:tr>
    </w:tbl>
    <w:bookmarkEnd w:id="23"/>
    <w:bookmarkStart w:id="24" w:name="delivery-terms-japan-osaka"/>
    <w:p>
      <w:pPr>
        <w:pStyle w:val="Heading2"/>
      </w:pPr>
      <w:r>
        <w:t xml:space="preserve">5. Delivery Terms – Japan Osaka</w:t>
      </w:r>
    </w:p>
    <w:p>
      <w:pPr>
        <w:pStyle w:val="FirstParagraph"/>
      </w:pPr>
      <w:r>
        <w:t xml:space="preserve">The chemist supplier, Osaka Central Chemist Co., Ltd., shall deliver all goods specified in this Purchase Order to the receiving facility of the Kinki Pharmaceutical Research Institute at 3-12-8 Tennoji, Chuo-ku, Osaka, Japan. Delivery is scheduled no later than 28 June 2025. All shipments must be routed through the Osaka metropolitan logistics corridor and must comply with the Osaka City Fire Department regulations regarding the transport of hazardous chemical substances. The chemist is responsible for providing all necessary Material Safety Data Sheets (MSDS/SDS) in both Japanese and English for each chemical compound listed. Delivery shall be made between the hours of 08:00 and 16:00 Japan Standard Time (JST), Monday through Friday, excluding Japanese national holidays.</w:t>
      </w:r>
    </w:p>
    <w:bookmarkEnd w:id="24"/>
    <w:bookmarkStart w:id="25" w:name="payment-terms"/>
    <w:p>
      <w:pPr>
        <w:pStyle w:val="Heading2"/>
      </w:pPr>
      <w:r>
        <w:t xml:space="preserve">6. Payment Terms</w:t>
      </w:r>
    </w:p>
    <w:p>
      <w:pPr>
        <w:pStyle w:val="FirstParagraph"/>
      </w:pPr>
      <w:r>
        <w:t xml:space="preserve">Payment for this Purchase Order shall be made via bank transfer (振込) to the following account of the chemist supplier within thirty (30) calendar days of the date of confirmed receipt and acceptance of all goods. Remitting Bank: Sumitomo Mitsui Banking Corporation, Osaka Central Branch, Chuo-ku, Osaka. Account Name: Osaka Central Chemist Co., Ltd. Account Number: 104-228-5567. The purchasing entity reserves the right to withhold payment for any line item that fails to meet the specified chemist grade, purity, or quality standards as verified by the receiving laboratory's quality assurance team.</w:t>
      </w:r>
    </w:p>
    <w:bookmarkEnd w:id="25"/>
    <w:bookmarkStart w:id="26" w:name="quality-assurance-chemist-compliance"/>
    <w:p>
      <w:pPr>
        <w:pStyle w:val="Heading2"/>
      </w:pPr>
      <w:r>
        <w:t xml:space="preserve">7. Quality Assurance &amp; Chemist Compliance</w:t>
      </w:r>
    </w:p>
    <w:p>
      <w:pPr>
        <w:pStyle w:val="FirstParagraph"/>
      </w:pPr>
      <w:r>
        <w:t xml:space="preserve">All chemical and pharmaceutical products supplied under this Purchase Order must be manufactured, handled, and stored in strict accordance with Good Manufacturing Practice (GMP) standards as defined by the Ministry of Health, Labour and Welfare of Japan. The chemist supplier must provide a Certificate of Analysis (CoA) for every batch of chemical reagent and pharmaceutical API delivered. The chemist must maintain a valid Osaka Prefectural Pharmacy License and a Chemical Substance Registration under the Act on Securing the Quality of Chemical Substances. Any deviation from the stated purity or grade will result in immediate rejection of the affected lot at no additional cost to the purchasing entity.</w:t>
      </w:r>
    </w:p>
    <w:bookmarkEnd w:id="26"/>
    <w:bookmarkStart w:id="27" w:name="terms-and-conditions"/>
    <w:p>
      <w:pPr>
        <w:pStyle w:val="Heading2"/>
      </w:pPr>
      <w:r>
        <w:t xml:space="preserve">8. Terms and Conditions</w:t>
      </w:r>
    </w:p>
    <w:p>
      <w:pPr>
        <w:pStyle w:val="FirstParagraph"/>
      </w:pPr>
      <w:r>
        <w:t xml:space="preserve">This Purchase Order is governed by the laws of Japan, with jurisdiction vested in the Osaka District Court. The chemist supplier acknowledges that all intellectual property, proprietary formulations, and research data associated with the ordered materials remain the exclusive property of the Kinki Pharmaceutical Research Institute. Neither party shall be liable for delays caused by force majeure events, including but not limited to typhoons affecting the Osaka region, earthquakes, or government-mandated shutdowns. Disputes arising from this Purchase Order shall first be addressed through good-faith negotiation between the authorized representatives of both parties in Osaka, Japan, before any formal arbitration is initiated under the Japan Commercial Arbitration Association (JCAA).</w:t>
      </w:r>
    </w:p>
    <w:bookmarkEnd w:id="27"/>
    <w:bookmarkStart w:id="28" w:name="authorization-signatures"/>
    <w:p>
      <w:pPr>
        <w:pStyle w:val="Heading2"/>
      </w:pPr>
      <w:r>
        <w:t xml:space="preserve">9. Authorization &amp; Signatures</w:t>
      </w:r>
    </w:p>
    <w:p>
      <w:pPr>
        <w:pStyle w:val="FirstParagraph"/>
      </w:pPr>
      <w:r>
        <w:rPr>
          <w:bCs/>
          <w:b/>
        </w:rPr>
        <w:t xml:space="preserve">For the Purchasing Entity:</w:t>
      </w:r>
    </w:p>
    <w:p>
      <w:pPr>
        <w:pStyle w:val="BodyText"/>
      </w:pPr>
      <w:r>
        <w:t xml:space="preserve">Kinki Pharmaceutical Research Institute</w:t>
      </w:r>
    </w:p>
    <w:p>
      <w:pPr>
        <w:pStyle w:val="BodyText"/>
      </w:pPr>
      <w:r>
        <w:t xml:space="preserve">Dr. Yuki Morimoto – Director of Procurement</w:t>
      </w:r>
    </w:p>
    <w:p>
      <w:pPr>
        <w:pStyle w:val="BodyText"/>
      </w:pPr>
      <w:r>
        <w:t xml:space="preserve">Date: _______________</w:t>
      </w:r>
    </w:p>
    <w:p>
      <w:pPr>
        <w:pStyle w:val="BodyText"/>
      </w:pPr>
      <w:r>
        <w:rPr>
          <w:bCs/>
          <w:b/>
        </w:rPr>
        <w:t xml:space="preserve">For the Chemist Supplier:</w:t>
      </w:r>
    </w:p>
    <w:p>
      <w:pPr>
        <w:pStyle w:val="BodyText"/>
      </w:pPr>
      <w:r>
        <w:t xml:space="preserve">Osaka Central Chemist Co., Ltd.</w:t>
      </w:r>
    </w:p>
    <w:p>
      <w:pPr>
        <w:pStyle w:val="BodyText"/>
      </w:pPr>
      <w:r>
        <w:t xml:space="preserve">Mr. Kenji Tanaka – Senior Chemist &amp; Manager</w:t>
      </w:r>
    </w:p>
    <w:p>
      <w:pPr>
        <w:pStyle w:val="BodyText"/>
      </w:pPr>
      <w:r>
        <w:t xml:space="preserve">Date: _______________</w:t>
      </w:r>
    </w:p>
    <w:p>
      <w:pPr>
        <w:pStyle w:val="BodyText"/>
      </w:pPr>
      <w:r>
        <w:t xml:space="preserve">This Purchase Order document (PO-OSK-2025-04872) was generated for use in Japan Osaka. It is the property of the Kinki Pharmaceutical Research Institute. Unauthorized reproduction or distribution is prohibited. For inquiries regarding this chemist supply order, contact the Procurement Department at +81-6-6771-4420 or procurement@kinki-pharma-ri.jp. All references to "chemist" in this document pertain to the licensed pharmaceutical and chemical supply professional entity identified in Section 1. This document is valid only for transactions conducted within the jurisdiction of Osaka,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Japan Osaka</dc:title>
  <dc:creator/>
  <dc:language>en</dc:language>
  <cp:keywords/>
  <dcterms:created xsi:type="dcterms:W3CDTF">2026-10-10T08:31:15Z</dcterms:created>
  <dcterms:modified xsi:type="dcterms:W3CDTF">2026-10-10T08:31:15Z</dcterms:modified>
</cp:coreProperties>
</file>

<file path=docProps/custom.xml><?xml version="1.0" encoding="utf-8"?>
<Properties xmlns="http://schemas.openxmlformats.org/officeDocument/2006/custom-properties" xmlns:vt="http://schemas.openxmlformats.org/officeDocument/2006/docPropsVTypes"/>
</file>