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Chemist</w:t>
      </w:r>
      <w:r>
        <w:t xml:space="preserve"> </w:t>
      </w:r>
      <w:r>
        <w:t xml:space="preserve">Supply</w:t>
      </w:r>
      <w:r>
        <w:t xml:space="preserve"> </w:t>
      </w:r>
      <w:r>
        <w:t xml:space="preserve">-</w:t>
      </w:r>
      <w:r>
        <w:t xml:space="preserve"> </w:t>
      </w:r>
      <w:r>
        <w:t xml:space="preserve">Japan</w:t>
      </w:r>
      <w:r>
        <w:t xml:space="preserve"> </w:t>
      </w:r>
      <w:r>
        <w:t xml:space="preserve">Tokyo</w:t>
      </w:r>
    </w:p>
    <w:bookmarkStart w:id="28" w:name="purchase-order"/>
    <w:p>
      <w:pPr>
        <w:pStyle w:val="Heading1"/>
      </w:pPr>
      <w:r>
        <w:t xml:space="preserve">PURCHASE ORDER</w:t>
      </w:r>
    </w:p>
    <w:p>
      <w:pPr>
        <w:pStyle w:val="FirstParagraph"/>
      </w:pPr>
      <w:r>
        <w:rPr>
          <w:bCs/>
          <w:b/>
        </w:rPr>
        <w:t xml:space="preserve">Purchase Order No.:</w:t>
      </w:r>
      <w:r>
        <w:t xml:space="preserve"> </w:t>
      </w:r>
      <w:r>
        <w:t xml:space="preserve">PO-TKY-2025-04872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28 June 2025</w:t>
      </w:r>
    </w:p>
    <w:p>
      <w:pPr>
        <w:pStyle w:val="BodyText"/>
      </w:pPr>
      <w:r>
        <w:rPr>
          <w:bCs/>
          <w:b/>
        </w:rPr>
        <w:t xml:space="preserve">Payment Terms:</w:t>
      </w:r>
      <w:r>
        <w:t xml:space="preserve"> </w:t>
      </w:r>
      <w:r>
        <w:t xml:space="preserve">Net 45 Days from Invoice Date</w:t>
      </w:r>
    </w:p>
    <w:p>
      <w:pPr>
        <w:pStyle w:val="BodyText"/>
      </w:pPr>
      <w:r>
        <w:rPr>
          <w:bCs/>
          <w:b/>
        </w:rPr>
        <w:t xml:space="preserve">Buyer:</w:t>
      </w:r>
      <w:r>
        <w:t xml:space="preserve"> </w:t>
      </w:r>
      <w:r>
        <w:t xml:space="preserve">Tokyo Pharmaceutical Distribution Co., Ltd.</w:t>
      </w:r>
    </w:p>
    <w:p>
      <w:pPr>
        <w:pStyle w:val="BodyText"/>
      </w:pPr>
      <w:r>
        <w:rPr>
          <w:bCs/>
          <w:b/>
        </w:rPr>
        <w:t xml:space="preserve">Address:</w:t>
      </w:r>
      <w:r>
        <w:t xml:space="preserve"> </w:t>
      </w:r>
      <w:r>
        <w:t xml:space="preserve">3-14-27 Shibuya, Shibuya-ku, Tokyo 150-0041, Japan</w:t>
      </w:r>
    </w:p>
    <w:p>
      <w:pPr>
        <w:pStyle w:val="BodyText"/>
      </w:pPr>
      <w:r>
        <w:rPr>
          <w:bCs/>
          <w:b/>
        </w:rPr>
        <w:t xml:space="preserve">Contact:</w:t>
      </w:r>
      <w:r>
        <w:t xml:space="preserve"> </w:t>
      </w:r>
      <w:r>
        <w:t xml:space="preserve">Mr. Kenji Tanaka, Procurement Director</w:t>
      </w:r>
    </w:p>
    <w:p>
      <w:pPr>
        <w:pStyle w:val="BodyText"/>
      </w:pPr>
      <w:r>
        <w:rPr>
          <w:bCs/>
          <w:b/>
        </w:rPr>
        <w:t xml:space="preserve">Phone:</w:t>
      </w:r>
      <w:r>
        <w:t xml:space="preserve"> </w:t>
      </w:r>
      <w:r>
        <w:t xml:space="preserve">+81-3-5411-8820</w:t>
      </w:r>
    </w:p>
    <w:p>
      <w:pPr>
        <w:pStyle w:val="BodyText"/>
      </w:pPr>
      <w:r>
        <w:rPr>
          <w:bCs/>
          <w:b/>
        </w:rPr>
        <w:t xml:space="preserve">Email:</w:t>
      </w:r>
      <w:r>
        <w:t xml:space="preserve"> </w:t>
      </w:r>
      <w:r>
        <w:t xml:space="preserve">k.tanaka@tokyopharma-distribution.jp</w:t>
      </w:r>
    </w:p>
    <w:bookmarkStart w:id="20" w:name="supplier-chemist-details"/>
    <w:p>
      <w:pPr>
        <w:pStyle w:val="Heading2"/>
      </w:pPr>
      <w:r>
        <w:t xml:space="preserve">Supplier / Chemist Details</w:t>
      </w:r>
    </w:p>
    <w:p>
      <w:pPr>
        <w:pStyle w:val="FirstParagraph"/>
      </w:pPr>
      <w:r>
        <w:rPr>
          <w:bCs/>
          <w:b/>
        </w:rPr>
        <w:t xml:space="preserve">Chemist Name:</w:t>
      </w:r>
      <w:r>
        <w:t xml:space="preserve"> </w:t>
      </w:r>
      <w:r>
        <w:t xml:space="preserve">Nippon Chemical &amp; Pharmaceutical Supply Co., Ltd. (NCPSC)</w:t>
      </w:r>
    </w:p>
    <w:p>
      <w:pPr>
        <w:pStyle w:val="BodyText"/>
      </w:pPr>
      <w:r>
        <w:rPr>
          <w:bCs/>
          <w:b/>
        </w:rPr>
        <w:t xml:space="preserve">Chemist License No.:</w:t>
      </w:r>
      <w:r>
        <w:t xml:space="preserve"> </w:t>
      </w:r>
      <w:r>
        <w:t xml:space="preserve">JPN-CHM-2019-004471 (Registered with the Ministry of Health, Labour and Welfare, Japan)</w:t>
      </w:r>
    </w:p>
    <w:p>
      <w:pPr>
        <w:pStyle w:val="BodyText"/>
      </w:pPr>
      <w:r>
        <w:rPr>
          <w:bCs/>
          <w:b/>
        </w:rPr>
        <w:t xml:space="preserve">Address:</w:t>
      </w:r>
      <w:r>
        <w:t xml:space="preserve"> </w:t>
      </w:r>
      <w:r>
        <w:t xml:space="preserve">12-5 Kanda-Mitsukoshi, Chiyoda-ku, Tokyo 101-0021, Japan</w:t>
      </w:r>
    </w:p>
    <w:p>
      <w:pPr>
        <w:pStyle w:val="BodyText"/>
      </w:pPr>
      <w:r>
        <w:rPr>
          <w:bCs/>
          <w:b/>
        </w:rPr>
        <w:t xml:space="preserve">Chemist Representative:</w:t>
      </w:r>
      <w:r>
        <w:t xml:space="preserve"> </w:t>
      </w:r>
      <w:r>
        <w:t xml:space="preserve">Dr. Yuki Sato, Chief Chemist &amp; Authorized Signatory</w:t>
      </w:r>
    </w:p>
    <w:p>
      <w:pPr>
        <w:pStyle w:val="BodyText"/>
      </w:pPr>
      <w:r>
        <w:rPr>
          <w:bCs/>
          <w:b/>
        </w:rPr>
        <w:t xml:space="preserve">Phone:</w:t>
      </w:r>
      <w:r>
        <w:t xml:space="preserve"> </w:t>
      </w:r>
      <w:r>
        <w:t xml:space="preserve">+81-3-3265-4410</w:t>
      </w:r>
    </w:p>
    <w:p>
      <w:pPr>
        <w:pStyle w:val="BodyText"/>
      </w:pPr>
      <w:r>
        <w:rPr>
          <w:bCs/>
          <w:b/>
        </w:rPr>
        <w:t xml:space="preserve">Email:</w:t>
      </w:r>
      <w:r>
        <w:t xml:space="preserve"> </w:t>
      </w:r>
      <w:r>
        <w:t xml:space="preserve">y.sato@ncpsc-chemist.jp</w:t>
      </w:r>
    </w:p>
    <w:p>
      <w:pPr>
        <w:pStyle w:val="BodyText"/>
      </w:pPr>
      <w:r>
        <w:rPr>
          <w:bCs/>
          <w:b/>
        </w:rPr>
        <w:t xml:space="preserve">Tax Identification Number (TIN):</w:t>
      </w:r>
      <w:r>
        <w:t xml:space="preserve"> </w:t>
      </w:r>
      <w:r>
        <w:t xml:space="preserve">9010001234567</w:t>
      </w:r>
    </w:p>
    <w:bookmarkEnd w:id="20"/>
    <w:bookmarkStart w:id="21" w:name="purchase-order-line-items"/>
    <w:p>
      <w:pPr>
        <w:pStyle w:val="Heading2"/>
      </w:pPr>
      <w:r>
        <w:t xml:space="preserve">Purchase Order Line Items</w:t>
      </w:r>
    </w:p>
    <w:p>
      <w:pPr>
        <w:pStyle w:val="FirstParagraph"/>
      </w:pPr>
      <w:r>
        <w:t xml:space="preserve">This Purchase Order is issued by Tokyo Pharmaceutical Distribution Co., Ltd. to the above-named Chemist for the supply of pharmaceutical-grade chemicals, reagents, and laboratory consumables. All items listed below must comply with the Japanese Pharmaceutical and Medical Devices Act (PMDA regulations) and must be delivered to our Tokyo warehouse facility.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(JPY)</w:t>
            </w:r>
          </w:p>
        </w:tc>
        <w:tc>
          <w:tcPr/>
          <w:p>
            <w:pPr>
              <w:pStyle w:val="Compact"/>
              <w:jc w:val="left"/>
            </w:pPr>
            <w:r>
              <w:t xml:space="preserve">Amount (JPY)</w:t>
            </w:r>
          </w:p>
        </w:tc>
      </w:tr>
      <w:tr>
        <w:tc>
          <w:tcPr/>
          <w:p>
            <w:pPr>
              <w:pStyle w:val="Compact"/>
              <w:jc w:val="left"/>
            </w:pPr>
            <w:r>
              <w:t xml:space="preserve">01</w:t>
            </w:r>
          </w:p>
        </w:tc>
        <w:tc>
          <w:tcPr/>
          <w:p>
            <w:pPr>
              <w:pStyle w:val="Compact"/>
              <w:jc w:val="left"/>
            </w:pPr>
            <w:r>
              <w:t xml:space="preserve">Pharmaceutical-Grade Acetone (CAS 67-64-1), 99.9% purity, 25L drum</w:t>
            </w:r>
          </w:p>
        </w:tc>
        <w:tc>
          <w:tcPr/>
          <w:p>
            <w:pPr>
              <w:pStyle w:val="Compact"/>
              <w:jc w:val="left"/>
            </w:pPr>
            <w:r>
              <w:t xml:space="preserve">40</w:t>
            </w:r>
          </w:p>
        </w:tc>
        <w:tc>
          <w:tcPr/>
          <w:p>
            <w:pPr>
              <w:pStyle w:val="Compact"/>
              <w:jc w:val="left"/>
            </w:pPr>
            <w:r>
              <w:t xml:space="preserve">Drums</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02</w:t>
            </w:r>
          </w:p>
        </w:tc>
        <w:tc>
          <w:tcPr/>
          <w:p>
            <w:pPr>
              <w:pStyle w:val="Compact"/>
              <w:jc w:val="left"/>
            </w:pPr>
            <w:r>
              <w:t xml:space="preserve">Sodium Chloride, USP/JP Grade, 25kg bags</w:t>
            </w:r>
          </w:p>
        </w:tc>
        <w:tc>
          <w:tcPr/>
          <w:p>
            <w:pPr>
              <w:pStyle w:val="Compact"/>
              <w:jc w:val="left"/>
            </w:pPr>
            <w:r>
              <w:t xml:space="preserve">120</w:t>
            </w:r>
          </w:p>
        </w:tc>
        <w:tc>
          <w:tcPr/>
          <w:p>
            <w:pPr>
              <w:pStyle w:val="Compact"/>
              <w:jc w:val="left"/>
            </w:pPr>
            <w:r>
              <w:t xml:space="preserve">Bags</w:t>
            </w:r>
          </w:p>
        </w:tc>
        <w:tc>
          <w:tcPr/>
          <w:p>
            <w:pPr>
              <w:pStyle w:val="Compact"/>
              <w:jc w:val="left"/>
            </w:pPr>
            <w:r>
              <w:t xml:space="preserve">4,200</w:t>
            </w:r>
          </w:p>
        </w:tc>
        <w:tc>
          <w:tcPr/>
          <w:p>
            <w:pPr>
              <w:pStyle w:val="Compact"/>
              <w:jc w:val="left"/>
            </w:pPr>
            <w:r>
              <w:t xml:space="preserve">504,000</w:t>
            </w:r>
          </w:p>
        </w:tc>
      </w:tr>
      <w:tr>
        <w:tc>
          <w:tcPr/>
          <w:p>
            <w:pPr>
              <w:pStyle w:val="Compact"/>
              <w:jc w:val="left"/>
            </w:pPr>
            <w:r>
              <w:t xml:space="preserve">03</w:t>
            </w:r>
          </w:p>
        </w:tc>
        <w:tc>
          <w:tcPr/>
          <w:p>
            <w:pPr>
              <w:pStyle w:val="Compact"/>
              <w:jc w:val="left"/>
            </w:pPr>
            <w:r>
              <w:t xml:space="preserve">Ethanol Absolute (99.5%), Pharmaceutical Grade, 5L bottles</w:t>
            </w:r>
          </w:p>
        </w:tc>
        <w:tc>
          <w:tcPr/>
          <w:p>
            <w:pPr>
              <w:pStyle w:val="Compact"/>
              <w:jc w:val="left"/>
            </w:pPr>
            <w:r>
              <w:t xml:space="preserve">200</w:t>
            </w:r>
          </w:p>
        </w:tc>
        <w:tc>
          <w:tcPr/>
          <w:p>
            <w:pPr>
              <w:pStyle w:val="Compact"/>
              <w:jc w:val="left"/>
            </w:pPr>
            <w:r>
              <w:t xml:space="preserve">Bottles</w:t>
            </w:r>
          </w:p>
        </w:tc>
        <w:tc>
          <w:tcPr/>
          <w:p>
            <w:pPr>
              <w:pStyle w:val="Compact"/>
              <w:jc w:val="left"/>
            </w:pPr>
            <w:r>
              <w:t xml:space="preserve">6,800</w:t>
            </w:r>
          </w:p>
        </w:tc>
        <w:tc>
          <w:tcPr/>
          <w:p>
            <w:pPr>
              <w:pStyle w:val="Compact"/>
              <w:jc w:val="left"/>
            </w:pPr>
            <w:r>
              <w:t xml:space="preserve">1,360,000</w:t>
            </w:r>
          </w:p>
        </w:tc>
      </w:tr>
      <w:tr>
        <w:tc>
          <w:tcPr/>
          <w:p>
            <w:pPr>
              <w:pStyle w:val="Compact"/>
              <w:jc w:val="left"/>
            </w:pPr>
            <w:r>
              <w:t xml:space="preserve">04</w:t>
            </w:r>
          </w:p>
        </w:tc>
        <w:tc>
          <w:tcPr/>
          <w:p>
            <w:pPr>
              <w:pStyle w:val="Compact"/>
              <w:jc w:val="left"/>
            </w:pPr>
            <w:r>
              <w:t xml:space="preserve">Sodium Hydroxide Pellets, 98%, 25kg drums</w:t>
            </w:r>
          </w:p>
        </w:tc>
        <w:tc>
          <w:tcPr/>
          <w:p>
            <w:pPr>
              <w:pStyle w:val="Compact"/>
              <w:jc w:val="left"/>
            </w:pPr>
            <w:r>
              <w:t xml:space="preserve">60</w:t>
            </w:r>
          </w:p>
        </w:tc>
        <w:tc>
          <w:tcPr/>
          <w:p>
            <w:pPr>
              <w:pStyle w:val="Compact"/>
              <w:jc w:val="left"/>
            </w:pPr>
            <w:r>
              <w:t xml:space="preserve">Drums</w:t>
            </w:r>
          </w:p>
        </w:tc>
        <w:tc>
          <w:tcPr/>
          <w:p>
            <w:pPr>
              <w:pStyle w:val="Compact"/>
              <w:jc w:val="left"/>
            </w:pPr>
            <w:r>
              <w:t xml:space="preserve">9,400</w:t>
            </w:r>
          </w:p>
        </w:tc>
        <w:tc>
          <w:tcPr/>
          <w:p>
            <w:pPr>
              <w:pStyle w:val="Compact"/>
              <w:jc w:val="left"/>
            </w:pPr>
            <w:r>
              <w:t xml:space="preserve">564,000</w:t>
            </w:r>
          </w:p>
        </w:tc>
      </w:tr>
      <w:tr>
        <w:tc>
          <w:tcPr/>
          <w:p>
            <w:pPr>
              <w:pStyle w:val="Compact"/>
              <w:jc w:val="left"/>
            </w:pPr>
            <w:r>
              <w:t xml:space="preserve">05</w:t>
            </w:r>
          </w:p>
        </w:tc>
        <w:tc>
          <w:tcPr/>
          <w:p>
            <w:pPr>
              <w:pStyle w:val="Compact"/>
              <w:jc w:val="left"/>
            </w:pPr>
            <w:r>
              <w:t xml:space="preserve">Hydrochloric Acid 37%, Laboratory Grade, 4L bottles</w:t>
            </w:r>
          </w:p>
        </w:tc>
        <w:tc>
          <w:tcPr/>
          <w:p>
            <w:pPr>
              <w:pStyle w:val="Compact"/>
              <w:jc w:val="left"/>
            </w:pPr>
            <w:r>
              <w:t xml:space="preserve">80</w:t>
            </w:r>
          </w:p>
        </w:tc>
        <w:tc>
          <w:tcPr/>
          <w:p>
            <w:pPr>
              <w:pStyle w:val="Compact"/>
              <w:jc w:val="left"/>
            </w:pPr>
            <w:r>
              <w:t xml:space="preserve">Bottles</w:t>
            </w:r>
          </w:p>
        </w:tc>
        <w:tc>
          <w:tcPr/>
          <w:p>
            <w:pPr>
              <w:pStyle w:val="Compact"/>
              <w:jc w:val="left"/>
            </w:pPr>
            <w:r>
              <w:t xml:space="preserve">5,600</w:t>
            </w:r>
          </w:p>
        </w:tc>
        <w:tc>
          <w:tcPr/>
          <w:p>
            <w:pPr>
              <w:pStyle w:val="Compact"/>
              <w:jc w:val="left"/>
            </w:pPr>
            <w:r>
              <w:t xml:space="preserve">448,000</w:t>
            </w:r>
          </w:p>
        </w:tc>
      </w:tr>
      <w:tr>
        <w:tc>
          <w:tcPr/>
          <w:p>
            <w:pPr>
              <w:pStyle w:val="Compact"/>
              <w:jc w:val="left"/>
            </w:pPr>
            <w:r>
              <w:t xml:space="preserve">06</w:t>
            </w:r>
          </w:p>
        </w:tc>
        <w:tc>
          <w:tcPr/>
          <w:p>
            <w:pPr>
              <w:pStyle w:val="Compact"/>
              <w:jc w:val="left"/>
            </w:pPr>
            <w:r>
              <w:t xml:space="preserve">Distilled Water, Pharmaceutical Grade, 20L containers</w:t>
            </w:r>
          </w:p>
        </w:tc>
        <w:tc>
          <w:tcPr/>
          <w:p>
            <w:pPr>
              <w:pStyle w:val="Compact"/>
              <w:jc w:val="left"/>
            </w:pPr>
            <w:r>
              <w:t xml:space="preserve">300</w:t>
            </w:r>
          </w:p>
        </w:tc>
        <w:tc>
          <w:tcPr/>
          <w:p>
            <w:pPr>
              <w:pStyle w:val="Compact"/>
              <w:jc w:val="left"/>
            </w:pPr>
            <w:r>
              <w:t xml:space="preserve">Containers</w:t>
            </w:r>
          </w:p>
        </w:tc>
        <w:tc>
          <w:tcPr/>
          <w:p>
            <w:pPr>
              <w:pStyle w:val="Compact"/>
              <w:jc w:val="left"/>
            </w:pPr>
            <w:r>
              <w:t xml:space="preserve">2,100</w:t>
            </w:r>
          </w:p>
        </w:tc>
        <w:tc>
          <w:tcPr/>
          <w:p>
            <w:pPr>
              <w:pStyle w:val="Compact"/>
              <w:jc w:val="left"/>
            </w:pPr>
            <w:r>
              <w:t xml:space="preserve">630,000</w:t>
            </w:r>
          </w:p>
        </w:tc>
      </w:tr>
      <w:tr>
        <w:tc>
          <w:tcPr/>
          <w:p>
            <w:pPr>
              <w:pStyle w:val="Compact"/>
              <w:jc w:val="left"/>
            </w:pPr>
            <w:r>
              <w:t xml:space="preserve">07</w:t>
            </w:r>
          </w:p>
        </w:tc>
        <w:tc>
          <w:tcPr/>
          <w:p>
            <w:pPr>
              <w:pStyle w:val="Compact"/>
              <w:jc w:val="left"/>
            </w:pPr>
            <w:r>
              <w:t xml:space="preserve">Glass Beakers Set (100ml–5000ml), Borosilicate, Lab Grade</w:t>
            </w:r>
          </w:p>
        </w:tc>
        <w:tc>
          <w:tcPr/>
          <w:p>
            <w:pPr>
              <w:pStyle w:val="Compact"/>
              <w:jc w:val="left"/>
            </w:pPr>
            <w:r>
              <w:t xml:space="preserve">50</w:t>
            </w:r>
          </w:p>
        </w:tc>
        <w:tc>
          <w:tcPr/>
          <w:p>
            <w:pPr>
              <w:pStyle w:val="Compact"/>
              <w:jc w:val="left"/>
            </w:pPr>
            <w:r>
              <w:t xml:space="preserve">Sets</w:t>
            </w:r>
          </w:p>
        </w:tc>
        <w:tc>
          <w:tcPr/>
          <w:p>
            <w:pPr>
              <w:pStyle w:val="Compact"/>
              <w:jc w:val="left"/>
            </w:pPr>
            <w:r>
              <w:t xml:space="preserve">12,300</w:t>
            </w:r>
          </w:p>
        </w:tc>
        <w:tc>
          <w:tcPr/>
          <w:p>
            <w:pPr>
              <w:pStyle w:val="Compact"/>
              <w:jc w:val="left"/>
            </w:pPr>
            <w:r>
              <w:t xml:space="preserve">615,000</w:t>
            </w:r>
          </w:p>
        </w:tc>
      </w:tr>
      <w:tr>
        <w:tc>
          <w:tcPr/>
          <w:p>
            <w:pPr>
              <w:pStyle w:val="Compact"/>
              <w:jc w:val="left"/>
            </w:pPr>
            <w:r>
              <w:t xml:space="preserve">08</w:t>
            </w:r>
          </w:p>
        </w:tc>
        <w:tc>
          <w:tcPr/>
          <w:p>
            <w:pPr>
              <w:pStyle w:val="Compact"/>
              <w:jc w:val="left"/>
            </w:pPr>
            <w:r>
              <w:t xml:space="preserve">Nitrile Examination Gloves, Powder-Free, Size M, 1000 pcs/box</w:t>
            </w:r>
          </w:p>
        </w:tc>
        <w:tc>
          <w:tcPr/>
          <w:p>
            <w:pPr>
              <w:pStyle w:val="Compact"/>
              <w:jc w:val="left"/>
            </w:pPr>
            <w:r>
              <w:t xml:space="preserve">150</w:t>
            </w:r>
          </w:p>
        </w:tc>
        <w:tc>
          <w:tcPr/>
          <w:p>
            <w:pPr>
              <w:pStyle w:val="Compact"/>
              <w:jc w:val="left"/>
            </w:pPr>
            <w:r>
              <w:t xml:space="preserve">Boxes</w:t>
            </w:r>
          </w:p>
        </w:tc>
        <w:tc>
          <w:tcPr/>
          <w:p>
            <w:pPr>
              <w:pStyle w:val="Compact"/>
              <w:jc w:val="left"/>
            </w:pPr>
            <w:r>
              <w:t xml:space="preserve">3,800</w:t>
            </w:r>
          </w:p>
        </w:tc>
        <w:tc>
          <w:tcPr/>
          <w:p>
            <w:pPr>
              <w:pStyle w:val="Compact"/>
              <w:jc w:val="left"/>
            </w:pPr>
            <w:r>
              <w:t xml:space="preserve">570,000</w:t>
            </w:r>
          </w:p>
        </w:tc>
      </w:tr>
      <w:tr>
        <w:tc>
          <w:tcPr/>
          <w:p>
            <w:pPr>
              <w:pStyle w:val="Compact"/>
              <w:jc w:val="left"/>
            </w:pPr>
            <w:r>
              <w:t xml:space="preserve">09</w:t>
            </w:r>
          </w:p>
        </w:tc>
        <w:tc>
          <w:tcPr/>
          <w:p>
            <w:pPr>
              <w:pStyle w:val="Compact"/>
              <w:jc w:val="left"/>
            </w:pPr>
            <w:r>
              <w:t xml:space="preserve">Chemical Safety Data Sheets (SDS) – Full Japanese/English Set</w:t>
            </w:r>
          </w:p>
        </w:tc>
        <w:tc>
          <w:tcPr/>
          <w:p>
            <w:pPr>
              <w:pStyle w:val="Compact"/>
              <w:jc w:val="left"/>
            </w:pPr>
            <w:r>
              <w:t xml:space="preserve">1</w:t>
            </w:r>
          </w:p>
        </w:tc>
        <w:tc>
          <w:tcPr/>
          <w:p>
            <w:pPr>
              <w:pStyle w:val="Compact"/>
              <w:jc w:val="left"/>
            </w:pPr>
            <w:r>
              <w:t xml:space="preserve">Lot</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10</w:t>
            </w:r>
          </w:p>
        </w:tc>
        <w:tc>
          <w:tcPr/>
          <w:p>
            <w:pPr>
              <w:pStyle w:val="Compact"/>
              <w:jc w:val="left"/>
            </w:pPr>
            <w:r>
              <w:t xml:space="preserve">Custom Formulation – Buffered Saline Solution, 500mL vials (500 vials/case)</w:t>
            </w:r>
          </w:p>
        </w:tc>
        <w:tc>
          <w:tcPr/>
          <w:p>
            <w:pPr>
              <w:pStyle w:val="Compact"/>
              <w:jc w:val="left"/>
            </w:pPr>
            <w:r>
              <w:t xml:space="preserve">40</w:t>
            </w:r>
          </w:p>
        </w:tc>
        <w:tc>
          <w:tcPr/>
          <w:p>
            <w:pPr>
              <w:pStyle w:val="Compact"/>
              <w:jc w:val="left"/>
            </w:pPr>
            <w:r>
              <w:t xml:space="preserve">Cases</w:t>
            </w:r>
          </w:p>
        </w:tc>
        <w:tc>
          <w:tcPr/>
          <w:p>
            <w:pPr>
              <w:pStyle w:val="Compact"/>
              <w:jc w:val="left"/>
            </w:pPr>
            <w:r>
              <w:t xml:space="preserve">28,000</w:t>
            </w:r>
          </w:p>
        </w:tc>
        <w:tc>
          <w:tcPr/>
          <w:p>
            <w:pPr>
              <w:pStyle w:val="Compact"/>
              <w:jc w:val="left"/>
            </w:pPr>
            <w:r>
              <w:t xml:space="preserve">1,120,000</w:t>
            </w:r>
          </w:p>
        </w:tc>
      </w:tr>
    </w:tbl>
    <w:bookmarkEnd w:id="21"/>
    <w:bookmarkStart w:id="22" w:name="subtotal-and-totals"/>
    <w:p>
      <w:pPr>
        <w:pStyle w:val="Heading2"/>
      </w:pPr>
      <w:r>
        <w:t xml:space="preserve">Subtotal and Totals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(JPY)</w:t>
            </w:r>
          </w:p>
        </w:tc>
        <w:tc>
          <w:tcPr/>
          <w:p>
            <w:pPr>
              <w:pStyle w:val="Compact"/>
              <w:jc w:val="left"/>
            </w:pPr>
            <w:r>
              <w:t xml:space="preserve">6,596,000</w:t>
            </w:r>
          </w:p>
        </w:tc>
      </w:tr>
      <w:tr>
        <w:tc>
          <w:tcPr/>
          <w:p>
            <w:pPr>
              <w:pStyle w:val="Compact"/>
              <w:jc w:val="left"/>
            </w:pPr>
            <w:r>
              <w:t xml:space="preserve">Consumption Tax (10% – Japan National Tax)</w:t>
            </w:r>
          </w:p>
        </w:tc>
        <w:tc>
          <w:tcPr/>
          <w:p>
            <w:pPr>
              <w:pStyle w:val="Compact"/>
              <w:jc w:val="left"/>
            </w:pPr>
            <w:r>
              <w:t xml:space="preserve">659,600</w:t>
            </w:r>
          </w:p>
        </w:tc>
      </w:tr>
      <w:tr>
        <w:tc>
          <w:tcPr/>
          <w:p>
            <w:pPr>
              <w:pStyle w:val="Compact"/>
              <w:jc w:val="left"/>
            </w:pPr>
            <w:r>
              <w:t xml:space="preserve">Freight &amp; Delivery within Tokyo Metropolitan Area</w:t>
            </w:r>
          </w:p>
        </w:tc>
        <w:tc>
          <w:tcPr/>
          <w:p>
            <w:pPr>
              <w:pStyle w:val="Compact"/>
              <w:jc w:val="left"/>
            </w:pPr>
            <w:r>
              <w:t xml:space="preserve">85,000</w:t>
            </w:r>
          </w:p>
        </w:tc>
      </w:tr>
      <w:tr>
        <w:tc>
          <w:tcPr/>
          <w:p>
            <w:pPr>
              <w:pStyle w:val="Compact"/>
              <w:jc w:val="left"/>
            </w:pPr>
            <w:r>
              <w:rPr>
                <w:bCs/>
                <w:b/>
              </w:rPr>
              <w:t xml:space="preserve">Grand Total (JPY)</w:t>
            </w:r>
          </w:p>
        </w:tc>
        <w:tc>
          <w:tcPr/>
          <w:p>
            <w:pPr>
              <w:pStyle w:val="Compact"/>
              <w:jc w:val="left"/>
            </w:pPr>
            <w:r>
              <w:rPr>
                <w:bCs/>
                <w:b/>
              </w:rPr>
              <w:t xml:space="preserve">7,340,600</w:t>
            </w:r>
          </w:p>
        </w:tc>
      </w:tr>
    </w:tbl>
    <w:bookmarkEnd w:id="22"/>
    <w:bookmarkStart w:id="23" w:name="delivery-and-logistics-terms"/>
    <w:p>
      <w:pPr>
        <w:pStyle w:val="Heading2"/>
      </w:pPr>
      <w:r>
        <w:t xml:space="preserve">Delivery and Logistics Terms</w:t>
      </w:r>
    </w:p>
    <w:p>
      <w:pPr>
        <w:pStyle w:val="FirstParagraph"/>
      </w:pPr>
      <w:r>
        <w:t xml:space="preserve">All goods under this Purchase Order shall be delivered to the buyer's primary warehouse located at 3-14-27 Shibuya, Shibuya-ku, Tokyo 150-0041, Japan. The Chemist is responsible for arranging all transportation, insurance, and handling of hazardous materials in strict accordance with the Japanese Fire Service Act and the Tokyo Metropolitan Government's hazardous materials transport regulations. Delivery must be completed no later than 28 June 2025, between the hours of 08:00 and 16:00 JST. The Chemist shall provide a minimum of 48 hours' advance written notice prior to delivery to allow the receiving team at our Tokyo facility to prepare appropriate storage and safety protocols.</w:t>
      </w:r>
    </w:p>
    <w:bookmarkEnd w:id="23"/>
    <w:bookmarkStart w:id="24" w:name="X1e9311bf62a98d878286e85ce65a3eb3de8329f"/>
    <w:p>
      <w:pPr>
        <w:pStyle w:val="Heading2"/>
      </w:pPr>
      <w:r>
        <w:t xml:space="preserve">Quality Assurance and Regulatory Compliance</w:t>
      </w:r>
    </w:p>
    <w:p>
      <w:pPr>
        <w:pStyle w:val="FirstParagraph"/>
      </w:pPr>
      <w:r>
        <w:t xml:space="preserve">The Chemist warrants that all products supplied under this Purchase Order shall meet or exceed the standards set forth in the Japanese Pharmacopoeia (JP) and the United States Pharmacopeia (USP) where applicable. Each shipment must be accompanied by a Certificate of Analysis (CoA), a complete set of Chemical Safety Data Sheets (SDS) in both Japanese and English, and a batch/lot traceability record. The Chemist confirms that all operations are conducted in compliance with the Chemical Substances Control Act (CSCL) of Japan and that all necessary permits for the manufacture, storage, and distribution of the listed chemicals are current and valid. Failure to provide compliant documentation will result in automatic rejection of the shipment at the Tokyo receiving dock, and the Chemist shall bear all costs associated with return or disposal.</w:t>
      </w:r>
    </w:p>
    <w:bookmarkEnd w:id="24"/>
    <w:bookmarkStart w:id="25" w:name="payment-and-financial-terms"/>
    <w:p>
      <w:pPr>
        <w:pStyle w:val="Heading2"/>
      </w:pPr>
      <w:r>
        <w:t xml:space="preserve">Payment and Financial Terms</w:t>
      </w:r>
    </w:p>
    <w:p>
      <w:pPr>
        <w:pStyle w:val="FirstParagraph"/>
      </w:pPr>
      <w:r>
        <w:t xml:space="preserve">Payment for this Purchase Order shall be made via bank transfer (seiyu) to the Chemist's designated account within 45 calendar days of the date of the valid invoice. The invoice must reference Purchase Order number PO-TKY-2025-04872 and must be issued in Japanese Yen (JPY). Late payments shall incur a penalty of 1.5% per month as stipulated under the Japanese Act on Special Provisions Concerning the Prompt Payment of Claims to Small and Medium-Sized Enterprises. The Chemist shall not assign or transfer any rights under this Purchase Order without the prior written consent of Tokyo Pharmaceutical Distribution Co., Ltd.</w:t>
      </w:r>
    </w:p>
    <w:bookmarkEnd w:id="25"/>
    <w:bookmarkStart w:id="26" w:name="general-terms-and-conditions"/>
    <w:p>
      <w:pPr>
        <w:pStyle w:val="Heading2"/>
      </w:pPr>
      <w:r>
        <w:t xml:space="preserve">General Terms and Conditions</w:t>
      </w:r>
    </w:p>
    <w:p>
      <w:pPr>
        <w:pStyle w:val="FirstParagraph"/>
      </w:pPr>
      <w:r>
        <w:t xml:space="preserve">1. This Purchase Order is governed by and shall be construed in accordance with the laws of Japan, specifically the Civil Code of Japan and the Commercial Code of Japan.</w:t>
      </w:r>
      <w:r>
        <w:br/>
      </w:r>
      <w:r>
        <w:t xml:space="preserve">2. Any disputes arising from this Purchase Order shall be resolved through arbitration in Tokyo, Japan, under the rules of the Japan Commercial Arbitration Association (JCAA).</w:t>
      </w:r>
      <w:r>
        <w:br/>
      </w:r>
      <w:r>
        <w:t xml:space="preserve">3. The Chemist shall maintain adequate product liability insurance with a minimum coverage of 500,000,000 JPY for the duration of this Purchase Order and any subsequent orders.</w:t>
      </w:r>
      <w:r>
        <w:br/>
      </w:r>
      <w:r>
        <w:t xml:space="preserve">4. The Chemist shall not subcontract any portion of the supply without the express written approval of the buyer.</w:t>
      </w:r>
      <w:r>
        <w:br/>
      </w:r>
      <w:r>
        <w:t xml:space="preserve">5. This Purchase Order becomes effective upon signature by both parties and remains valid until all items have been delivered, inspected, and accepted by the buyer at the Tokyo facility.</w:t>
      </w:r>
      <w:r>
        <w:br/>
      </w:r>
      <w:r>
        <w:t xml:space="preserve">6. In the event of force majeure, the Chemist must notify the buyer in writing within 24 hours and provide a revised delivery schedule for approval.</w:t>
      </w:r>
      <w:r>
        <w:br/>
      </w:r>
      <w:r>
        <w:t xml:space="preserve">7. All intellectual property, formulations, and proprietary information exchanged under this Purchase Order shall remain the exclusive property of the disclosing party and shall not be disclosed to third parties without written consent.</w:t>
      </w:r>
    </w:p>
    <w:bookmarkEnd w:id="26"/>
    <w:bookmarkStart w:id="27" w:name="acceptance-and-signatures"/>
    <w:p>
      <w:pPr>
        <w:pStyle w:val="Heading2"/>
      </w:pPr>
      <w:r>
        <w:t xml:space="preserve">Acceptance and Signatures</w:t>
      </w:r>
    </w:p>
    <w:p>
      <w:pPr>
        <w:pStyle w:val="FirstParagraph"/>
      </w:pPr>
      <w:r>
        <w:t xml:space="preserve">By signing below, both parties acknowledge and agree to all terms, conditions, and specifications outlined in this Purchase Order. The Chemist confirms availability of all listed items and commits to fulfilling the order within the stipulated timeframe for delivery to the Tokyo, Japan facility.</w:t>
      </w:r>
    </w:p>
    <w:p>
      <w:pPr>
        <w:pStyle w:val="BodyText"/>
      </w:pPr>
      <w:r>
        <w:rPr>
          <w:bCs/>
          <w:b/>
        </w:rPr>
        <w:t xml:space="preserve">For and on behalf of the Buyer:</w:t>
      </w:r>
    </w:p>
    <w:p>
      <w:pPr>
        <w:pStyle w:val="BodyText"/>
      </w:pPr>
      <w:r>
        <w:t xml:space="preserve">Tokyo Pharmaceutical Distribution Co., Ltd.</w:t>
      </w:r>
    </w:p>
    <w:p>
      <w:pPr>
        <w:pStyle w:val="BodyText"/>
      </w:pPr>
      <w:r>
        <w:t xml:space="preserve">Mr. Kenji Tanaka – Procurement Director</w:t>
      </w:r>
    </w:p>
    <w:p>
      <w:pPr>
        <w:pStyle w:val="BodyText"/>
      </w:pPr>
      <w:r>
        <w:t xml:space="preserve">Date: _______________</w:t>
      </w:r>
    </w:p>
    <w:p>
      <w:pPr>
        <w:pStyle w:val="BodyText"/>
      </w:pPr>
      <w:r>
        <w:rPr>
          <w:bCs/>
          <w:b/>
        </w:rPr>
        <w:t xml:space="preserve">For and on behalf of the Chemist:</w:t>
      </w:r>
    </w:p>
    <w:p>
      <w:pPr>
        <w:pStyle w:val="BodyText"/>
      </w:pPr>
      <w:r>
        <w:t xml:space="preserve">Nippon Chemical &amp; Pharmaceutical Supply Co., Ltd.</w:t>
      </w:r>
    </w:p>
    <w:p>
      <w:pPr>
        <w:pStyle w:val="BodyText"/>
      </w:pPr>
      <w:r>
        <w:t xml:space="preserve">Dr. Yuki Sato – Chief Chemist</w:t>
      </w:r>
    </w:p>
    <w:p>
      <w:pPr>
        <w:pStyle w:val="BodyText"/>
      </w:pPr>
      <w:r>
        <w:t xml:space="preserve">Date: _______________</w:t>
      </w:r>
    </w:p>
    <w:p>
      <w:pPr>
        <w:pStyle w:val="BodyText"/>
      </w:pPr>
      <w:r>
        <w:t xml:space="preserve">Purchase Order PO-TKY-2025-04872 | Tokyo Pharmaceutical Distribution Co., Ltd. | Shibuya-ku, Tokyo, Japan</w:t>
      </w:r>
      <w:r>
        <w:br/>
      </w:r>
      <w:r>
        <w:t xml:space="preserve">This document is the property of Tokyo Pharmaceutical Distribution Co., Ltd. Unauthorized reproduction or distribution is prohibited under Japanese copyright law.</w:t>
      </w:r>
      <w:r>
        <w:br/>
      </w:r>
      <w:r>
        <w:t xml:space="preserve">Document generated in accordance with the Chemist's registered supply license JPN-CHM-2019-004471.</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Chemist Supply - Japan Tokyo</dc:title>
  <dc:creator/>
  <dc:language>en</dc:language>
  <cp:keywords/>
  <dcterms:created xsi:type="dcterms:W3CDTF">2026-10-10T02:34:51Z</dcterms:created>
  <dcterms:modified xsi:type="dcterms:W3CDTF">2026-10-10T02:34:51Z</dcterms:modified>
</cp:coreProperties>
</file>

<file path=docProps/custom.xml><?xml version="1.0" encoding="utf-8"?>
<Properties xmlns="http://schemas.openxmlformats.org/officeDocument/2006/custom-properties" xmlns:vt="http://schemas.openxmlformats.org/officeDocument/2006/docPropsVTypes"/>
</file>