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Chemist</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purchase-order"/>
    <w:p>
      <w:pPr>
        <w:pStyle w:val="Heading1"/>
      </w:pPr>
      <w:r>
        <w:t xml:space="preserve">PURCHASE ORDER</w:t>
      </w:r>
    </w:p>
    <w:p>
      <w:pPr>
        <w:pStyle w:val="FirstParagraph"/>
      </w:pPr>
      <w:r>
        <w:t xml:space="preserve">Chemist Supply Procurement — Malaysia Kuala Lumpur</w:t>
      </w:r>
    </w:p>
    <w:p>
      <w:pPr>
        <w:pStyle w:val="BodyText"/>
      </w:pPr>
      <w:r>
        <w:t xml:space="preserve">Document Reference: PO-KL-CHEM-2025-00472</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No.:</w:t>
            </w:r>
          </w:p>
        </w:tc>
        <w:tc>
          <w:tcPr/>
          <w:p>
            <w:pPr>
              <w:pStyle w:val="Compact"/>
              <w:jc w:val="left"/>
            </w:pPr>
            <w:r>
              <w:t xml:space="preserve">PO-KL-CHEM-2025-00472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Delivery Date:</w:t>
            </w:r>
          </w:p>
        </w:tc>
        <w:tc>
          <w:tcPr/>
          <w:p>
            <w:pPr>
              <w:pStyle w:val="Compact"/>
              <w:jc w:val="left"/>
            </w:pPr>
            <w:r>
              <w:t xml:space="preserve">28 June 2025</w:t>
            </w:r>
          </w:p>
        </w:tc>
      </w:tr>
      <w:tr>
        <w:tc>
          <w:tcPr/>
          <w:p>
            <w:pPr>
              <w:pStyle w:val="Compact"/>
              <w:jc w:val="left"/>
            </w:pPr>
            <w:r>
              <w:t xml:space="preserve">Payment Terms:</w:t>
            </w:r>
          </w:p>
        </w:tc>
        <w:tc>
          <w:tcPr/>
          <w:p>
            <w:pPr>
              <w:pStyle w:val="Compact"/>
              <w:jc w:val="left"/>
            </w:pPr>
            <w:r>
              <w:t xml:space="preserve">Net 30 Days from Invoice Date</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Buyer:</w:t>
            </w:r>
          </w:p>
        </w:tc>
        <w:tc>
          <w:tcPr/>
          <w:p>
            <w:pPr>
              <w:pStyle w:val="Compact"/>
              <w:jc w:val="left"/>
            </w:pPr>
            <w:r>
              <w:t xml:space="preserve">MediCare Chemist Sdn. Bhd.</w:t>
            </w:r>
          </w:p>
        </w:tc>
      </w:tr>
      <w:tr>
        <w:tc>
          <w:tcPr/>
          <w:p>
            <w:pPr>
              <w:pStyle w:val="Compact"/>
              <w:jc w:val="left"/>
            </w:pPr>
            <w:r>
              <w:t xml:space="preserve">Address:</w:t>
            </w:r>
          </w:p>
        </w:tc>
        <w:tc>
          <w:tcPr/>
          <w:p>
            <w:pPr>
              <w:pStyle w:val="Compact"/>
              <w:jc w:val="left"/>
            </w:pPr>
            <w:r>
              <w:t xml:space="preserve">Lot 12, Jalan Ampang, 50450 Kuala Lumpur, Malaysia</w:t>
            </w:r>
          </w:p>
        </w:tc>
      </w:tr>
      <w:tr>
        <w:tc>
          <w:tcPr/>
          <w:p>
            <w:pPr>
              <w:pStyle w:val="Compact"/>
              <w:jc w:val="left"/>
            </w:pPr>
            <w:r>
              <w:t xml:space="preserve">Seller:</w:t>
            </w:r>
          </w:p>
        </w:tc>
        <w:tc>
          <w:tcPr/>
          <w:p>
            <w:pPr>
              <w:pStyle w:val="Compact"/>
              <w:jc w:val="left"/>
            </w:pPr>
            <w:r>
              <w:t xml:space="preserve">PharmaSource Distribution (M) Sdn. Bhd.</w:t>
            </w:r>
          </w:p>
        </w:tc>
      </w:tr>
      <w:tr>
        <w:tc>
          <w:tcPr/>
          <w:p>
            <w:pPr>
              <w:pStyle w:val="Compact"/>
              <w:jc w:val="left"/>
            </w:pPr>
            <w:r>
              <w:t xml:space="preserve">Address:</w:t>
            </w:r>
          </w:p>
        </w:tc>
        <w:tc>
          <w:tcPr/>
          <w:p>
            <w:pPr>
              <w:pStyle w:val="Compact"/>
              <w:jc w:val="left"/>
            </w:pPr>
            <w:r>
              <w:t xml:space="preserve">Unit 8-2, Menara Sentral, Jalan Stesen Sentral 5, 50470 Kuala Lumpur, Malaysia</w:t>
            </w:r>
          </w:p>
        </w:tc>
      </w:tr>
    </w:tbl>
    <w:p>
      <w:pPr>
        <w:pStyle w:val="BodyText"/>
      </w:pPr>
      <w:r>
        <w:t xml:space="preserve">PURCHASE ORDER DETAILS — CHEMIST SUPPLIES, MALAYSIA KUALA LUMPUR</w:t>
      </w:r>
    </w:p>
    <w:p>
      <w:pPr>
        <w:pStyle w:val="BodyText"/>
      </w:pPr>
      <w:r>
        <w:t xml:space="preserve">This Purchase Order is issued by</w:t>
      </w:r>
      <w:r>
        <w:t xml:space="preserve"> </w:t>
      </w:r>
      <w:r>
        <w:t xml:space="preserve">MediCare Chemist Sdn. Bhd.</w:t>
      </w:r>
      <w:r>
        <w:t xml:space="preserve">, a registered chemist and pharmacy operating in</w:t>
      </w:r>
      <w:r>
        <w:t xml:space="preserve"> </w:t>
      </w:r>
      <w:r>
        <w:t xml:space="preserve">Malaysia Kuala Lumpur</w:t>
      </w:r>
      <w:r>
        <w:t xml:space="preserve">, to procure pharmaceutical products, medical supplies, and general chemist merchandise from</w:t>
      </w:r>
      <w:r>
        <w:t xml:space="preserve"> </w:t>
      </w:r>
      <w:r>
        <w:t xml:space="preserve">PharmaSource Distribution (M) Sdn. Bhd.</w:t>
      </w:r>
      <w:r>
        <w:t xml:space="preserve">. This Purchase Order governs the terms, conditions, quantities, and pricing for all items listed below. All transactions under this Purchase Order shall comply with the regulations set forth by the Malaysian Pharmaceutical and Medical Device Authority (NPRA) and the Pharmacy and Poisons Act 1911 (Act 134) as applicable in</w:t>
      </w:r>
      <w:r>
        <w:t xml:space="preserve"> </w:t>
      </w:r>
      <w:r>
        <w:t xml:space="preserve">Malaysia Kuala Lumpur</w:t>
      </w:r>
      <w:r>
        <w:t xml:space="preserve">.</w:t>
      </w:r>
    </w:p>
    <w:p>
      <w:pPr>
        <w:pStyle w:val="BodyText"/>
      </w:pPr>
      <w:r>
        <w:t xml:space="preserve">ITEMS ORDERED</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(MYR)</w:t>
            </w:r>
          </w:p>
        </w:tc>
        <w:tc>
          <w:tcPr/>
          <w:p>
            <w:pPr>
              <w:pStyle w:val="Compact"/>
              <w:jc w:val="left"/>
            </w:pPr>
            <w:r>
              <w:t xml:space="preserve">Amount (MYR)</w:t>
            </w:r>
          </w:p>
        </w:tc>
      </w:tr>
      <w:tr>
        <w:tc>
          <w:tcPr/>
          <w:p>
            <w:pPr>
              <w:pStyle w:val="Compact"/>
              <w:jc w:val="left"/>
            </w:pPr>
            <w:r>
              <w:t xml:space="preserve">01</w:t>
            </w:r>
          </w:p>
        </w:tc>
        <w:tc>
          <w:tcPr/>
          <w:p>
            <w:pPr>
              <w:pStyle w:val="Compact"/>
              <w:jc w:val="left"/>
            </w:pPr>
            <w:r>
              <w:t xml:space="preserve">Paracetamol 500mg Tablets (100s) — NPRA Registered</w:t>
            </w:r>
          </w:p>
        </w:tc>
        <w:tc>
          <w:tcPr/>
          <w:p>
            <w:pPr>
              <w:pStyle w:val="Compact"/>
              <w:jc w:val="left"/>
            </w:pPr>
            <w:r>
              <w:t xml:space="preserve">Pharmaceutical</w:t>
            </w:r>
          </w:p>
        </w:tc>
        <w:tc>
          <w:tcPr/>
          <w:p>
            <w:pPr>
              <w:pStyle w:val="Compact"/>
              <w:jc w:val="left"/>
            </w:pPr>
            <w:r>
              <w:t xml:space="preserve">200</w:t>
            </w:r>
          </w:p>
        </w:tc>
        <w:tc>
          <w:tcPr/>
          <w:p>
            <w:pPr>
              <w:pStyle w:val="Compact"/>
              <w:jc w:val="left"/>
            </w:pPr>
            <w:r>
              <w:t xml:space="preserve">Boxes</w:t>
            </w:r>
          </w:p>
        </w:tc>
        <w:tc>
          <w:tcPr/>
          <w:p>
            <w:pPr>
              <w:pStyle w:val="Compact"/>
              <w:jc w:val="left"/>
            </w:pPr>
            <w:r>
              <w:t xml:space="preserve">18.50</w:t>
            </w:r>
          </w:p>
        </w:tc>
        <w:tc>
          <w:tcPr/>
          <w:p>
            <w:pPr>
              <w:pStyle w:val="Compact"/>
              <w:jc w:val="left"/>
            </w:pPr>
            <w:r>
              <w:t xml:space="preserve">3,700.00</w:t>
            </w:r>
          </w:p>
        </w:tc>
      </w:tr>
      <w:tr>
        <w:tc>
          <w:tcPr/>
          <w:p>
            <w:pPr>
              <w:pStyle w:val="Compact"/>
              <w:jc w:val="left"/>
            </w:pPr>
            <w:r>
              <w:t xml:space="preserve">02</w:t>
            </w:r>
          </w:p>
        </w:tc>
        <w:tc>
          <w:tcPr/>
          <w:p>
            <w:pPr>
              <w:pStyle w:val="Compact"/>
              <w:jc w:val="left"/>
            </w:pPr>
            <w:r>
              <w:t xml:space="preserve">Amoxicillin 250mg Capsules (24s) — Prescription Only</w:t>
            </w:r>
          </w:p>
        </w:tc>
        <w:tc>
          <w:tcPr/>
          <w:p>
            <w:pPr>
              <w:pStyle w:val="Compact"/>
              <w:jc w:val="left"/>
            </w:pPr>
            <w:r>
              <w:t xml:space="preserve">Pharmaceutical</w:t>
            </w:r>
          </w:p>
        </w:tc>
        <w:tc>
          <w:tcPr/>
          <w:p>
            <w:pPr>
              <w:pStyle w:val="Compact"/>
              <w:jc w:val="left"/>
            </w:pPr>
            <w:r>
              <w:t xml:space="preserve">150</w:t>
            </w:r>
          </w:p>
        </w:tc>
        <w:tc>
          <w:tcPr/>
          <w:p>
            <w:pPr>
              <w:pStyle w:val="Compact"/>
              <w:jc w:val="left"/>
            </w:pPr>
            <w:r>
              <w:t xml:space="preserve">Boxes</w:t>
            </w:r>
          </w:p>
        </w:tc>
        <w:tc>
          <w:tcPr/>
          <w:p>
            <w:pPr>
              <w:pStyle w:val="Compact"/>
              <w:jc w:val="left"/>
            </w:pPr>
            <w:r>
              <w:t xml:space="preserve">32.00</w:t>
            </w:r>
          </w:p>
        </w:tc>
        <w:tc>
          <w:tcPr/>
          <w:p>
            <w:pPr>
              <w:pStyle w:val="Compact"/>
              <w:jc w:val="left"/>
            </w:pPr>
            <w:r>
              <w:t xml:space="preserve">4,800.00</w:t>
            </w:r>
          </w:p>
        </w:tc>
      </w:tr>
      <w:tr>
        <w:tc>
          <w:tcPr/>
          <w:p>
            <w:pPr>
              <w:pStyle w:val="Compact"/>
              <w:jc w:val="left"/>
            </w:pPr>
            <w:r>
              <w:t xml:space="preserve">03</w:t>
            </w:r>
          </w:p>
        </w:tc>
        <w:tc>
          <w:tcPr/>
          <w:p>
            <w:pPr>
              <w:pStyle w:val="Compact"/>
              <w:jc w:val="left"/>
            </w:pPr>
            <w:r>
              <w:t xml:space="preserve">Ibuprofen 400mg Tablets (20s) — OTC Chemist Product</w:t>
            </w:r>
          </w:p>
        </w:tc>
        <w:tc>
          <w:tcPr/>
          <w:p>
            <w:pPr>
              <w:pStyle w:val="Compact"/>
              <w:jc w:val="left"/>
            </w:pPr>
            <w:r>
              <w:t xml:space="preserve">Pharmaceutical</w:t>
            </w:r>
          </w:p>
        </w:tc>
        <w:tc>
          <w:tcPr/>
          <w:p>
            <w:pPr>
              <w:pStyle w:val="Compact"/>
              <w:jc w:val="left"/>
            </w:pPr>
            <w:r>
              <w:t xml:space="preserve">300</w:t>
            </w:r>
          </w:p>
        </w:tc>
        <w:tc>
          <w:tcPr/>
          <w:p>
            <w:pPr>
              <w:pStyle w:val="Compact"/>
              <w:jc w:val="left"/>
            </w:pPr>
            <w:r>
              <w:t xml:space="preserve">Boxes</w:t>
            </w:r>
          </w:p>
        </w:tc>
        <w:tc>
          <w:tcPr/>
          <w:p>
            <w:pPr>
              <w:pStyle w:val="Compact"/>
              <w:jc w:val="left"/>
            </w:pPr>
            <w:r>
              <w:t xml:space="preserve">12.80</w:t>
            </w:r>
          </w:p>
        </w:tc>
        <w:tc>
          <w:tcPr/>
          <w:p>
            <w:pPr>
              <w:pStyle w:val="Compact"/>
              <w:jc w:val="left"/>
            </w:pPr>
            <w:r>
              <w:t xml:space="preserve">3,840.00</w:t>
            </w:r>
          </w:p>
        </w:tc>
      </w:tr>
      <w:tr>
        <w:tc>
          <w:tcPr/>
          <w:p>
            <w:pPr>
              <w:pStyle w:val="Compact"/>
              <w:jc w:val="left"/>
            </w:pPr>
            <w:r>
              <w:t xml:space="preserve">04</w:t>
            </w:r>
          </w:p>
        </w:tc>
        <w:tc>
          <w:tcPr/>
          <w:p>
            <w:pPr>
              <w:pStyle w:val="Compact"/>
              <w:jc w:val="left"/>
            </w:pPr>
            <w:r>
              <w:t xml:space="preserve">Antiseptic Solution 500ml (Povidone-Iodine)</w:t>
            </w:r>
          </w:p>
        </w:tc>
        <w:tc>
          <w:tcPr/>
          <w:p>
            <w:pPr>
              <w:pStyle w:val="Compact"/>
              <w:jc w:val="left"/>
            </w:pPr>
            <w:r>
              <w:t xml:space="preserve">Medical Supply</w:t>
            </w:r>
          </w:p>
        </w:tc>
        <w:tc>
          <w:tcPr/>
          <w:p>
            <w:pPr>
              <w:pStyle w:val="Compact"/>
              <w:jc w:val="left"/>
            </w:pPr>
            <w:r>
              <w:t xml:space="preserve">100</w:t>
            </w:r>
          </w:p>
        </w:tc>
        <w:tc>
          <w:tcPr/>
          <w:p>
            <w:pPr>
              <w:pStyle w:val="Compact"/>
              <w:jc w:val="left"/>
            </w:pPr>
            <w:r>
              <w:t xml:space="preserve">Bottles</w:t>
            </w:r>
          </w:p>
        </w:tc>
        <w:tc>
          <w:tcPr/>
          <w:p>
            <w:pPr>
              <w:pStyle w:val="Compact"/>
              <w:jc w:val="left"/>
            </w:pPr>
            <w:r>
              <w:t xml:space="preserve">15.60</w:t>
            </w:r>
          </w:p>
        </w:tc>
        <w:tc>
          <w:tcPr/>
          <w:p>
            <w:pPr>
              <w:pStyle w:val="Compact"/>
              <w:jc w:val="left"/>
            </w:pPr>
            <w:r>
              <w:t xml:space="preserve">1,560.00</w:t>
            </w:r>
          </w:p>
        </w:tc>
      </w:tr>
      <w:tr>
        <w:tc>
          <w:tcPr/>
          <w:p>
            <w:pPr>
              <w:pStyle w:val="Compact"/>
              <w:jc w:val="left"/>
            </w:pPr>
            <w:r>
              <w:t xml:space="preserve">05</w:t>
            </w:r>
          </w:p>
        </w:tc>
        <w:tc>
          <w:tcPr/>
          <w:p>
            <w:pPr>
              <w:pStyle w:val="Compact"/>
              <w:jc w:val="left"/>
            </w:pPr>
            <w:r>
              <w:t xml:space="preserve">Sterile Gauze Pads 10x10cm (10s) — Chemist First Aid</w:t>
            </w:r>
          </w:p>
        </w:tc>
        <w:tc>
          <w:tcPr/>
          <w:p>
            <w:pPr>
              <w:pStyle w:val="Compact"/>
              <w:jc w:val="left"/>
            </w:pPr>
            <w:r>
              <w:t xml:space="preserve">Medical Supply</w:t>
            </w:r>
          </w:p>
        </w:tc>
        <w:tc>
          <w:tcPr/>
          <w:p>
            <w:pPr>
              <w:pStyle w:val="Compact"/>
              <w:jc w:val="left"/>
            </w:pPr>
            <w:r>
              <w:t xml:space="preserve">250</w:t>
            </w:r>
          </w:p>
        </w:tc>
        <w:tc>
          <w:tcPr/>
          <w:p>
            <w:pPr>
              <w:pStyle w:val="Compact"/>
              <w:jc w:val="left"/>
            </w:pPr>
            <w:r>
              <w:t xml:space="preserve">Packs</w:t>
            </w:r>
          </w:p>
        </w:tc>
        <w:tc>
          <w:tcPr/>
          <w:p>
            <w:pPr>
              <w:pStyle w:val="Compact"/>
              <w:jc w:val="left"/>
            </w:pPr>
            <w:r>
              <w:t xml:space="preserve">8.90</w:t>
            </w:r>
          </w:p>
        </w:tc>
        <w:tc>
          <w:tcPr/>
          <w:p>
            <w:pPr>
              <w:pStyle w:val="Compact"/>
              <w:jc w:val="left"/>
            </w:pPr>
            <w:r>
              <w:t xml:space="preserve">2,225.00</w:t>
            </w:r>
          </w:p>
        </w:tc>
      </w:tr>
      <w:tr>
        <w:tc>
          <w:tcPr/>
          <w:p>
            <w:pPr>
              <w:pStyle w:val="Compact"/>
              <w:jc w:val="left"/>
            </w:pPr>
            <w:r>
              <w:t xml:space="preserve">06</w:t>
            </w:r>
          </w:p>
        </w:tc>
        <w:tc>
          <w:tcPr/>
          <w:p>
            <w:pPr>
              <w:pStyle w:val="Compact"/>
              <w:jc w:val="left"/>
            </w:pPr>
            <w:r>
              <w:t xml:space="preserve">Disposable Nitrile Gloves (M, 100s) — Chemist PPE</w:t>
            </w:r>
          </w:p>
        </w:tc>
        <w:tc>
          <w:tcPr/>
          <w:p>
            <w:pPr>
              <w:pStyle w:val="Compact"/>
              <w:jc w:val="left"/>
            </w:pPr>
            <w:r>
              <w:t xml:space="preserve">Medical Supply</w:t>
            </w:r>
          </w:p>
        </w:tc>
        <w:tc>
          <w:tcPr/>
          <w:p>
            <w:pPr>
              <w:pStyle w:val="Compact"/>
              <w:jc w:val="left"/>
            </w:pPr>
            <w:r>
              <w:t xml:space="preserve">180</w:t>
            </w:r>
          </w:p>
        </w:tc>
        <w:tc>
          <w:tcPr/>
          <w:p>
            <w:pPr>
              <w:pStyle w:val="Compact"/>
              <w:jc w:val="left"/>
            </w:pPr>
            <w:r>
              <w:t xml:space="preserve">Boxes</w:t>
            </w:r>
          </w:p>
        </w:tc>
        <w:tc>
          <w:tcPr/>
          <w:p>
            <w:pPr>
              <w:pStyle w:val="Compact"/>
              <w:jc w:val="left"/>
            </w:pPr>
            <w:r>
              <w:t xml:space="preserve">22.40</w:t>
            </w:r>
          </w:p>
        </w:tc>
        <w:tc>
          <w:tcPr/>
          <w:p>
            <w:pPr>
              <w:pStyle w:val="Compact"/>
              <w:jc w:val="left"/>
            </w:pPr>
            <w:r>
              <w:t xml:space="preserve">4,032.00</w:t>
            </w:r>
          </w:p>
        </w:tc>
      </w:tr>
      <w:tr>
        <w:tc>
          <w:tcPr/>
          <w:p>
            <w:pPr>
              <w:pStyle w:val="Compact"/>
              <w:jc w:val="left"/>
            </w:pPr>
            <w:r>
              <w:t xml:space="preserve">07</w:t>
            </w:r>
          </w:p>
        </w:tc>
        <w:tc>
          <w:tcPr/>
          <w:p>
            <w:pPr>
              <w:pStyle w:val="Compact"/>
              <w:jc w:val="left"/>
            </w:pPr>
            <w:r>
              <w:t xml:space="preserve">Vitamin C 1000mg Effervescent Tablets (20s)</w:t>
            </w:r>
          </w:p>
        </w:tc>
        <w:tc>
          <w:tcPr/>
          <w:p>
            <w:pPr>
              <w:pStyle w:val="Compact"/>
              <w:jc w:val="left"/>
            </w:pPr>
            <w:r>
              <w:t xml:space="preserve">Supplement</w:t>
            </w:r>
          </w:p>
        </w:tc>
        <w:tc>
          <w:tcPr/>
          <w:p>
            <w:pPr>
              <w:pStyle w:val="Compact"/>
              <w:jc w:val="left"/>
            </w:pPr>
            <w:r>
              <w:t xml:space="preserve">120</w:t>
            </w:r>
          </w:p>
        </w:tc>
        <w:tc>
          <w:tcPr/>
          <w:p>
            <w:pPr>
              <w:pStyle w:val="Compact"/>
              <w:jc w:val="left"/>
            </w:pPr>
            <w:r>
              <w:t xml:space="preserve">Boxes</w:t>
            </w:r>
          </w:p>
        </w:tc>
        <w:tc>
          <w:tcPr/>
          <w:p>
            <w:pPr>
              <w:pStyle w:val="Compact"/>
              <w:jc w:val="left"/>
            </w:pPr>
            <w:r>
              <w:t xml:space="preserve">28.70</w:t>
            </w:r>
          </w:p>
        </w:tc>
        <w:tc>
          <w:tcPr/>
          <w:p>
            <w:pPr>
              <w:pStyle w:val="Compact"/>
              <w:jc w:val="left"/>
            </w:pPr>
            <w:r>
              <w:t xml:space="preserve">3,444.00</w:t>
            </w:r>
          </w:p>
        </w:tc>
      </w:tr>
      <w:tr>
        <w:tc>
          <w:tcPr/>
          <w:p>
            <w:pPr>
              <w:pStyle w:val="Compact"/>
              <w:jc w:val="left"/>
            </w:pPr>
            <w:r>
              <w:t xml:space="preserve">08</w:t>
            </w:r>
          </w:p>
        </w:tc>
        <w:tc>
          <w:tcPr/>
          <w:p>
            <w:pPr>
              <w:pStyle w:val="Compact"/>
              <w:jc w:val="left"/>
            </w:pPr>
            <w:r>
              <w:t xml:space="preserve">Thermometer Digital Infrared — Chemist Equipment</w:t>
            </w:r>
          </w:p>
        </w:tc>
        <w:tc>
          <w:tcPr/>
          <w:p>
            <w:pPr>
              <w:pStyle w:val="Compact"/>
              <w:jc w:val="left"/>
            </w:pPr>
            <w:r>
              <w:t xml:space="preserve">Equipment</w:t>
            </w:r>
          </w:p>
        </w:tc>
        <w:tc>
          <w:tcPr/>
          <w:p>
            <w:pPr>
              <w:pStyle w:val="Compact"/>
              <w:jc w:val="left"/>
            </w:pPr>
            <w:r>
              <w:t xml:space="preserve">15</w:t>
            </w:r>
          </w:p>
        </w:tc>
        <w:tc>
          <w:tcPr/>
          <w:p>
            <w:pPr>
              <w:pStyle w:val="Compact"/>
              <w:jc w:val="left"/>
            </w:pPr>
            <w:r>
              <w:t xml:space="preserve">Units</w:t>
            </w:r>
          </w:p>
        </w:tc>
        <w:tc>
          <w:tcPr/>
          <w:p>
            <w:pPr>
              <w:pStyle w:val="Compact"/>
              <w:jc w:val="left"/>
            </w:pPr>
            <w:r>
              <w:t xml:space="preserve">89.00</w:t>
            </w:r>
          </w:p>
        </w:tc>
        <w:tc>
          <w:tcPr/>
          <w:p>
            <w:pPr>
              <w:pStyle w:val="Compact"/>
              <w:jc w:val="left"/>
            </w:pPr>
            <w:r>
              <w:t xml:space="preserve">1,335.00</w:t>
            </w:r>
          </w:p>
        </w:tc>
      </w:tr>
      <w:tr>
        <w:tc>
          <w:tcPr/>
          <w:p>
            <w:pPr>
              <w:pStyle w:val="Compact"/>
              <w:jc w:val="left"/>
            </w:pPr>
            <w:r>
              <w:t xml:space="preserve">09</w:t>
            </w:r>
          </w:p>
        </w:tc>
        <w:tc>
          <w:tcPr/>
          <w:p>
            <w:pPr>
              <w:pStyle w:val="Compact"/>
              <w:jc w:val="left"/>
            </w:pPr>
            <w:r>
              <w:t xml:space="preserve">BP Monitor Automatic Upper Arm — Chemist Equipment</w:t>
            </w:r>
          </w:p>
        </w:tc>
        <w:tc>
          <w:tcPr/>
          <w:p>
            <w:pPr>
              <w:pStyle w:val="Compact"/>
              <w:jc w:val="left"/>
            </w:pPr>
            <w:r>
              <w:t xml:space="preserve">Equipment</w:t>
            </w:r>
          </w:p>
        </w:tc>
        <w:tc>
          <w:tcPr/>
          <w:p>
            <w:pPr>
              <w:pStyle w:val="Compact"/>
              <w:jc w:val="left"/>
            </w:pPr>
            <w:r>
              <w:t xml:space="preserve">10</w:t>
            </w:r>
          </w:p>
        </w:tc>
        <w:tc>
          <w:tcPr/>
          <w:p>
            <w:pPr>
              <w:pStyle w:val="Compact"/>
              <w:jc w:val="left"/>
            </w:pPr>
            <w:r>
              <w:t xml:space="preserve">Units</w:t>
            </w:r>
          </w:p>
        </w:tc>
        <w:tc>
          <w:tcPr/>
          <w:p>
            <w:pPr>
              <w:pStyle w:val="Compact"/>
              <w:jc w:val="left"/>
            </w:pPr>
            <w:r>
              <w:t xml:space="preserve">145.00</w:t>
            </w:r>
          </w:p>
        </w:tc>
        <w:tc>
          <w:tcPr/>
          <w:p>
            <w:pPr>
              <w:pStyle w:val="Compact"/>
              <w:jc w:val="left"/>
            </w:pPr>
            <w:r>
              <w:t xml:space="preserve">1,450.00</w:t>
            </w:r>
          </w:p>
        </w:tc>
      </w:tr>
      <w:tr>
        <w:tc>
          <w:tcPr/>
          <w:p>
            <w:pPr>
              <w:pStyle w:val="Compact"/>
              <w:jc w:val="left"/>
            </w:pPr>
            <w:r>
              <w:t xml:space="preserve">10</w:t>
            </w:r>
          </w:p>
        </w:tc>
        <w:tc>
          <w:tcPr/>
          <w:p>
            <w:pPr>
              <w:pStyle w:val="Compact"/>
              <w:jc w:val="left"/>
            </w:pPr>
            <w:r>
              <w:t xml:space="preserve">Chemist Display Shelves (Metal, 4-Tier) — Store Fixture</w:t>
            </w:r>
          </w:p>
        </w:tc>
        <w:tc>
          <w:tcPr/>
          <w:p>
            <w:pPr>
              <w:pStyle w:val="Compact"/>
              <w:jc w:val="left"/>
            </w:pPr>
            <w:r>
              <w:t xml:space="preserve">Store Fixture</w:t>
            </w:r>
          </w:p>
        </w:tc>
        <w:tc>
          <w:tcPr/>
          <w:p>
            <w:pPr>
              <w:pStyle w:val="Compact"/>
              <w:jc w:val="left"/>
            </w:pPr>
            <w:r>
              <w:t xml:space="preserve">6</w:t>
            </w:r>
          </w:p>
        </w:tc>
        <w:tc>
          <w:tcPr/>
          <w:p>
            <w:pPr>
              <w:pStyle w:val="Compact"/>
              <w:jc w:val="left"/>
            </w:pPr>
            <w:r>
              <w:t xml:space="preserve">Units</w:t>
            </w:r>
          </w:p>
        </w:tc>
        <w:tc>
          <w:tcPr/>
          <w:p>
            <w:pPr>
              <w:pStyle w:val="Compact"/>
              <w:jc w:val="left"/>
            </w:pPr>
            <w:r>
              <w:t xml:space="preserve">320.00</w:t>
            </w:r>
          </w:p>
        </w:tc>
        <w:tc>
          <w:tcPr/>
          <w:p>
            <w:pPr>
              <w:pStyle w:val="Compact"/>
              <w:jc w:val="left"/>
            </w:pPr>
            <w:r>
              <w:t xml:space="preserve">1,920.00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RM 28,306.00</w:t>
            </w:r>
          </w:p>
        </w:tc>
      </w:tr>
      <w:tr>
        <w:tc>
          <w:tcPr/>
          <w:p>
            <w:pPr>
              <w:pStyle w:val="Compact"/>
              <w:jc w:val="left"/>
            </w:pPr>
            <w:r>
              <w:t xml:space="preserve">SST (6%):</w:t>
            </w:r>
          </w:p>
        </w:tc>
        <w:tc>
          <w:tcPr/>
          <w:p>
            <w:pPr>
              <w:pStyle w:val="Compact"/>
              <w:jc w:val="right"/>
            </w:pPr>
            <w:r>
              <w:t xml:space="preserve">RM 1,698.36</w:t>
            </w:r>
          </w:p>
        </w:tc>
      </w:tr>
      <w:tr>
        <w:tc>
          <w:tcPr/>
          <w:p>
            <w:pPr>
              <w:pStyle w:val="Compact"/>
              <w:jc w:val="left"/>
            </w:pPr>
            <w:r>
              <w:t xml:space="preserve">Delivery &amp; Handling (Kuala Lumpur):</w:t>
            </w:r>
          </w:p>
        </w:tc>
        <w:tc>
          <w:tcPr/>
          <w:p>
            <w:pPr>
              <w:pStyle w:val="Compact"/>
              <w:jc w:val="right"/>
            </w:pPr>
            <w:r>
              <w:t xml:space="preserve">RM 250.00</w:t>
            </w:r>
          </w:p>
        </w:tc>
      </w:tr>
      <w:tr>
        <w:tc>
          <w:tcPr/>
          <w:p>
            <w:pPr>
              <w:pStyle w:val="Compact"/>
              <w:jc w:val="left"/>
            </w:pPr>
            <w:r>
              <w:t xml:space="preserve">Grand Total (MYR):</w:t>
            </w:r>
          </w:p>
        </w:tc>
        <w:tc>
          <w:tcPr/>
          <w:p>
            <w:pPr>
              <w:pStyle w:val="Compact"/>
              <w:jc w:val="right"/>
            </w:pPr>
            <w:r>
              <w:t xml:space="preserve">RM 30,254.36</w:t>
            </w:r>
          </w:p>
        </w:tc>
      </w:tr>
    </w:tbl>
    <w:p>
      <w:pPr>
        <w:pStyle w:val="BodyText"/>
      </w:pPr>
      <w:r>
        <w:t xml:space="preserve">TERMS AND CONDITIONS OF THIS PURCHASE ORDER</w:t>
      </w:r>
    </w:p>
    <w:p>
      <w:pPr>
        <w:numPr>
          <w:ilvl w:val="0"/>
          <w:numId w:val="1001"/>
        </w:numPr>
        <w:pStyle w:val="Compact"/>
      </w:pPr>
      <w:r>
        <w:rPr>
          <w:bCs/>
          <w:b/>
        </w:rPr>
        <w:t xml:space="preserve">Delivery Location:</w:t>
      </w:r>
      <w:r>
        <w:t xml:space="preserve"> </w:t>
      </w:r>
      <w:r>
        <w:t xml:space="preserve">All goods under this Purchase Order shall be delivered to the chemist premises of MediCare Chemist Sdn. Bhd. located at Lot 12, Jalan Ampang, 50450 Kuala Lumpur, Malaysia. The seller shall bear all transportation costs within the</w:t>
      </w:r>
      <w:r>
        <w:t xml:space="preserve"> </w:t>
      </w:r>
      <w:r>
        <w:t xml:space="preserve">Malaysia Kuala Lumpur</w:t>
      </w:r>
      <w:r>
        <w:t xml:space="preserve"> </w:t>
      </w:r>
      <w:r>
        <w:t xml:space="preserve">metropolitan area.</w:t>
      </w:r>
    </w:p>
    <w:p>
      <w:pPr>
        <w:numPr>
          <w:ilvl w:val="0"/>
          <w:numId w:val="1001"/>
        </w:numPr>
        <w:pStyle w:val="Compact"/>
      </w:pPr>
      <w:r>
        <w:rPr>
          <w:bCs/>
          <w:b/>
        </w:rPr>
        <w:t xml:space="preserve">Delivery Schedule:</w:t>
      </w:r>
      <w:r>
        <w:t xml:space="preserve"> </w:t>
      </w:r>
      <w:r>
        <w:t xml:space="preserve">The seller is required to deliver all items listed in this Purchase Order no later than 28 June 2025. Partial deliveries are not permitted unless prior written consent is obtained from the buyer's chemist operations manager in</w:t>
      </w:r>
      <w:r>
        <w:t xml:space="preserve"> </w:t>
      </w:r>
      <w:r>
        <w:t xml:space="preserve">Malaysia Kuala Lumpur</w:t>
      </w:r>
      <w:r>
        <w:t xml:space="preserve">.</w:t>
      </w:r>
    </w:p>
    <w:p>
      <w:pPr>
        <w:numPr>
          <w:ilvl w:val="0"/>
          <w:numId w:val="1001"/>
        </w:numPr>
        <w:pStyle w:val="Compact"/>
      </w:pPr>
      <w:r>
        <w:rPr>
          <w:bCs/>
          <w:b/>
        </w:rPr>
        <w:t xml:space="preserve">Quality and Compliance:</w:t>
      </w:r>
      <w:r>
        <w:t xml:space="preserve"> </w:t>
      </w:r>
      <w:r>
        <w:t xml:space="preserve">All pharmaceutical products and medical supplies must be registered with the National Pharmaceutical Regulatory Agency (NPRA) of Malaysia. The seller warrants that all items comply with the standards set by the Ministry of Health Malaysia and are suitable for sale at a licensed chemist in</w:t>
      </w:r>
      <w:r>
        <w:t xml:space="preserve"> </w:t>
      </w:r>
      <w:r>
        <w:t xml:space="preserve">Malaysia Kuala Lumpur</w:t>
      </w:r>
      <w:r>
        <w:t xml:space="preserve">.</w:t>
      </w:r>
    </w:p>
    <w:p>
      <w:pPr>
        <w:numPr>
          <w:ilvl w:val="0"/>
          <w:numId w:val="1001"/>
        </w:numPr>
        <w:pStyle w:val="Compact"/>
      </w:pPr>
      <w:r>
        <w:rPr>
          <w:bCs/>
          <w:b/>
        </w:rPr>
        <w:t xml:space="preserve">Payment Terms:</w:t>
      </w:r>
      <w:r>
        <w:t xml:space="preserve"> </w:t>
      </w:r>
      <w:r>
        <w:t xml:space="preserve">Payment shall be made within thirty (30) days from the date of the tax invoice issued by the seller. Payment shall be made via bank transfer to the seller's designated account in Malaysian Ringgit (MYR). Late payments shall attract interest at the rate of 5% per annum.</w:t>
      </w:r>
    </w:p>
    <w:p>
      <w:pPr>
        <w:numPr>
          <w:ilvl w:val="0"/>
          <w:numId w:val="1001"/>
        </w:numPr>
        <w:pStyle w:val="Compact"/>
      </w:pPr>
      <w:r>
        <w:rPr>
          <w:bCs/>
          <w:b/>
        </w:rPr>
        <w:t xml:space="preserve">Inspection and Acceptance:</w:t>
      </w:r>
      <w:r>
        <w:t xml:space="preserve"> </w:t>
      </w:r>
      <w:r>
        <w:t xml:space="preserve">Upon delivery at the chemist premises in</w:t>
      </w:r>
      <w:r>
        <w:t xml:space="preserve"> </w:t>
      </w:r>
      <w:r>
        <w:t xml:space="preserve">Malaysia Kuala Lumpur</w:t>
      </w:r>
      <w:r>
        <w:t xml:space="preserve">, the buyer shall have five (5) business days to inspect all goods. Any items found to be damaged, expired, or non-conforming to the specifications in this Purchase Order shall be rejected and replaced at the seller's sole cost.</w:t>
      </w:r>
    </w:p>
    <w:p>
      <w:pPr>
        <w:numPr>
          <w:ilvl w:val="0"/>
          <w:numId w:val="1001"/>
        </w:numPr>
        <w:pStyle w:val="Compact"/>
      </w:pPr>
      <w:r>
        <w:rPr>
          <w:bCs/>
          <w:b/>
        </w:rPr>
        <w:t xml:space="preserve">Warranty:</w:t>
      </w:r>
      <w:r>
        <w:t xml:space="preserve"> </w:t>
      </w:r>
      <w:r>
        <w:t xml:space="preserve">All equipment items (thermometers, BP monitors) carry a minimum twelve (12) month manufacturer's warranty. Pharmaceutical products must have a minimum expiry date of eighteen (18) months from the date of delivery to the chemist in</w:t>
      </w:r>
      <w:r>
        <w:t xml:space="preserve"> </w:t>
      </w:r>
      <w:r>
        <w:t xml:space="preserve">Malaysia Kuala Lumpur</w:t>
      </w:r>
      <w:r>
        <w:t xml:space="preserve">.</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regulations in</w:t>
      </w:r>
      <w:r>
        <w:t xml:space="preserve"> </w:t>
      </w:r>
      <w:r>
        <w:t xml:space="preserve">Malaysia Kuala Lumpur</w:t>
      </w:r>
      <w:r>
        <w:t xml:space="preserve">, or supply chain disruptions.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Malaysia. Any disputes arising from this Purchase Order shall be subject to the exclusive jurisdiction of the courts in</w:t>
      </w:r>
      <w:r>
        <w:t xml:space="preserve"> </w:t>
      </w:r>
      <w:r>
        <w:t xml:space="preserve">Malaysia Kuala Lumpur</w:t>
      </w:r>
      <w:r>
        <w:t xml:space="preserve">.</w:t>
      </w:r>
    </w:p>
    <w:p>
      <w:pPr>
        <w:numPr>
          <w:ilvl w:val="0"/>
          <w:numId w:val="1001"/>
        </w:numPr>
        <w:pStyle w:val="Compact"/>
      </w:pPr>
      <w:r>
        <w:rPr>
          <w:bCs/>
          <w:b/>
        </w:rPr>
        <w:t xml:space="preserve">Amendments:</w:t>
      </w:r>
      <w:r>
        <w:t xml:space="preserve"> </w:t>
      </w:r>
      <w:r>
        <w:t xml:space="preserve">No modification or amendment to this Purchase Order shall be valid unless made in writing and signed by authorized representatives of both the chemist buyer and the seller.</w:t>
      </w:r>
    </w:p>
    <w:p>
      <w:pPr>
        <w:pStyle w:val="FirstParagraph"/>
      </w:pPr>
      <w:r>
        <w:t xml:space="preserve">AUTHORIZATION AND SIGNATURES</w:t>
      </w:r>
    </w:p>
    <w:p>
      <w:pPr>
        <w:pStyle w:val="BodyText"/>
      </w:pPr>
      <w:r>
        <w:rPr>
          <w:bCs/>
          <w:b/>
        </w:rPr>
        <w:t xml:space="preserve">For and on behalf of the Buyer (Chemist):</w:t>
      </w:r>
    </w:p>
    <w:p>
      <w:pPr>
        <w:pStyle w:val="BodyText"/>
      </w:pPr>
      <w:r>
        <w:t xml:space="preserve">Name: Dr. Ahmad bin Ibrahim</w:t>
      </w:r>
    </w:p>
    <w:p>
      <w:pPr>
        <w:pStyle w:val="BodyText"/>
      </w:pPr>
      <w:r>
        <w:t xml:space="preserve">Title: Registered Pharmacist / Owner</w:t>
      </w:r>
    </w:p>
    <w:p>
      <w:pPr>
        <w:pStyle w:val="BodyText"/>
      </w:pPr>
      <w:r>
        <w:t xml:space="preserve">MediCare Chemist Sdn. Bhd.</w:t>
      </w:r>
    </w:p>
    <w:p>
      <w:pPr>
        <w:pStyle w:val="BodyText"/>
      </w:pPr>
      <w:r>
        <w:t xml:space="preserve">Kuala Lumpur, Malaysia</w:t>
      </w:r>
    </w:p>
    <w:p>
      <w:pPr>
        <w:pStyle w:val="BodyText"/>
      </w:pPr>
      <w:r>
        <w:t xml:space="preserve">Signature: _________________________</w:t>
      </w:r>
    </w:p>
    <w:p>
      <w:pPr>
        <w:pStyle w:val="BodyText"/>
      </w:pPr>
      <w:r>
        <w:t xml:space="preserve">Date: _________________________</w:t>
      </w:r>
    </w:p>
    <w:p>
      <w:pPr>
        <w:pStyle w:val="BodyText"/>
      </w:pPr>
      <w:r>
        <w:rPr>
          <w:bCs/>
          <w:b/>
        </w:rPr>
        <w:t xml:space="preserve">For and on behalf of the Seller:</w:t>
      </w:r>
    </w:p>
    <w:p>
      <w:pPr>
        <w:pStyle w:val="BodyText"/>
      </w:pPr>
      <w:r>
        <w:t xml:space="preserve">Name: Tan Wei Ming</w:t>
      </w:r>
    </w:p>
    <w:p>
      <w:pPr>
        <w:pStyle w:val="BodyText"/>
      </w:pPr>
      <w:r>
        <w:t xml:space="preserve">Title: Sales Director</w:t>
      </w:r>
    </w:p>
    <w:p>
      <w:pPr>
        <w:pStyle w:val="BodyText"/>
      </w:pPr>
      <w:r>
        <w:t xml:space="preserve">PharmaSource Distribution (M) Sdn. Bhd.</w:t>
      </w:r>
    </w:p>
    <w:p>
      <w:pPr>
        <w:pStyle w:val="BodyText"/>
      </w:pPr>
      <w:r>
        <w:t xml:space="preserve">Kuala Lumpur, Malaysia</w:t>
      </w:r>
    </w:p>
    <w:p>
      <w:pPr>
        <w:pStyle w:val="BodyText"/>
      </w:pPr>
      <w:r>
        <w:t xml:space="preserve">Signature: _________________________</w:t>
      </w:r>
    </w:p>
    <w:p>
      <w:pPr>
        <w:pStyle w:val="BodyText"/>
      </w:pPr>
      <w:r>
        <w:t xml:space="preserve">Date: _________________________</w:t>
      </w:r>
    </w:p>
    <w:p>
      <w:pPr>
        <w:pStyle w:val="BodyText"/>
      </w:pPr>
      <w:r>
        <w:t xml:space="preserve">This Purchase Order (PO-KL-CHEM-2025-00472) is a legally binding document issued by MediCare Chemist Sdn. Bhd., a licensed chemist operating in Malaysia Kuala Lumpur. All pharmaceutical transactions are subject to the Pharmacy and Poisons Act 1911 and NPRA regulations. This document is valid for a period of ninety (90) days from the date of issue. Unauthorized reproduction or distribution of this Purchase Order is strictly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Chemist - Malaysia Kuala Lumpur</dc:title>
  <dc:creator/>
  <dc:language>en</dc:language>
  <cp:keywords/>
  <dcterms:created xsi:type="dcterms:W3CDTF">2026-10-10T04:33:29Z</dcterms:created>
  <dcterms:modified xsi:type="dcterms:W3CDTF">2026-10-10T04:33:29Z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